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BE186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8.2.2 规划场地地表和屋面雨水径流，对场地雨水实施外排总量控制。（10分）</w:t>
      </w:r>
    </w:p>
    <w:p w14:paraId="74D4654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4962"/>
        <w:gridCol w:w="1701"/>
        <w:gridCol w:w="1629"/>
      </w:tblGrid>
      <w:tr w14:paraId="46E28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  <w:vAlign w:val="center"/>
          </w:tcPr>
          <w:p w14:paraId="0339D4C6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 w14:paraId="09CE7C99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1904BDE7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 w14:paraId="1162DCF3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2D493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 w14:paraId="19E083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 w14:paraId="02CC3251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场地年径流总量控制率达到55%</w:t>
            </w:r>
          </w:p>
        </w:tc>
        <w:tc>
          <w:tcPr>
            <w:tcW w:w="1701" w:type="dxa"/>
            <w:vAlign w:val="center"/>
          </w:tcPr>
          <w:p w14:paraId="1FBF1DD1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21674549"/>
            <w:placeholder>
              <w:docPart w:val="02F66056823042BCA0DE405C905D24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Merge w:val="restart"/>
                <w:vAlign w:val="center"/>
              </w:tcPr>
              <w:p w14:paraId="479AD38D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4F536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 w14:paraId="1B9BC3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 w14:paraId="3D729AA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场地年径流总量控制率达到70%</w:t>
            </w:r>
          </w:p>
        </w:tc>
        <w:tc>
          <w:tcPr>
            <w:tcW w:w="1701" w:type="dxa"/>
            <w:vAlign w:val="center"/>
          </w:tcPr>
          <w:p w14:paraId="615A821E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9" w:type="dxa"/>
            <w:vMerge w:val="continue"/>
            <w:vAlign w:val="center"/>
          </w:tcPr>
          <w:p w14:paraId="03607412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14:paraId="6EF30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2"/>
            <w:vAlign w:val="center"/>
          </w:tcPr>
          <w:p w14:paraId="5F8C2B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5E149141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02420764"/>
            <w:placeholder>
              <w:docPart w:val="D3302F1DEF0C4A7EA55A25F6271A25A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 w14:paraId="068B6332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 w14:paraId="727C95B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1D552B0">
      <w:pPr>
        <w:rPr>
          <w:u w:val="single"/>
        </w:rPr>
      </w:pPr>
      <w:r>
        <w:rPr>
          <w:rFonts w:hint="eastAsia"/>
        </w:rPr>
        <w:t>项目所在地</w:t>
      </w:r>
      <w:sdt>
        <w:sdtPr>
          <w:rPr>
            <w:rFonts w:hint="eastAsia"/>
            <w:u w:val="single"/>
          </w:rPr>
          <w:id w:val="543723202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辽宁省丹东市</w:t>
          </w:r>
          <w:r>
            <w:rPr>
              <w:rFonts w:hint="eastAsia"/>
              <w:u w:val="single"/>
            </w:rPr>
            <w:t xml:space="preserve"> </w:t>
          </w:r>
          <w:r>
            <w:rPr>
              <w:u w:val="single"/>
            </w:rPr>
            <w:t xml:space="preserve">        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，当地年均降雨量</w:t>
      </w:r>
      <w:sdt>
        <w:sdtPr>
          <w:rPr>
            <w:rFonts w:hint="eastAsia"/>
            <w:u w:val="single"/>
          </w:rPr>
          <w:id w:val="1310596693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1105</w:t>
          </w:r>
          <w:r>
            <w:rPr>
              <w:u w:val="single"/>
            </w:rPr>
            <w:t xml:space="preserve">   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t>mm</w:t>
      </w:r>
    </w:p>
    <w:p w14:paraId="75B2FCCD">
      <w:pPr>
        <w:rPr>
          <w:u w:val="single"/>
        </w:rPr>
      </w:pPr>
      <w:r>
        <w:rPr>
          <w:rFonts w:hint="eastAsia"/>
        </w:rPr>
        <w:t>场地年综合径流系数</w:t>
      </w:r>
      <w:sdt>
        <w:sdtPr>
          <w:rPr>
            <w:rFonts w:hint="eastAsia"/>
            <w:u w:val="single"/>
          </w:rPr>
          <w:id w:val="-198931629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0.58</w:t>
          </w:r>
          <w:r>
            <w:rPr>
              <w:rFonts w:hint="eastAsia"/>
              <w:u w:val="single"/>
            </w:rPr>
            <w:t xml:space="preserve">   </w:t>
          </w:r>
        </w:sdtContent>
      </w:sdt>
      <w:r>
        <w:rPr>
          <w:rFonts w:hint="eastAsia"/>
        </w:rPr>
        <w:t>，场地年径流总量控制率</w:t>
      </w:r>
      <w:sdt>
        <w:sdtPr>
          <w:rPr>
            <w:rFonts w:hint="eastAsia"/>
            <w:u w:val="single"/>
          </w:rPr>
          <w:id w:val="-485780857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75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%</w:t>
      </w:r>
    </w:p>
    <w:p w14:paraId="447C831A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请简要说明雨水外排控制措施。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036A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58DA0A5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源头减排（LID）</w:t>
            </w:r>
          </w:p>
          <w:p w14:paraId="27DF3A19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透水铺装：停车场、人行道、广场采用透水砖 / 透水混凝土，增加入渗中国政府网</w:t>
            </w:r>
          </w:p>
          <w:p w14:paraId="6864EF0C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下沉式绿地 / 雨水花园：低于场地标高 100～300mm，滞蓄、渗透、净化雨水中国政府网</w:t>
            </w:r>
          </w:p>
          <w:p w14:paraId="62893E28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绿色屋顶：屋面种植，截留雨水、削减径流中国政府网</w:t>
            </w:r>
          </w:p>
          <w:p w14:paraId="5388423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植草沟 / 生态边沟：替代硬质排水沟，缓流、入渗中国政府网</w:t>
            </w:r>
          </w:p>
          <w:p w14:paraId="6EEEC16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2. 中途调蓄</w:t>
            </w:r>
          </w:p>
          <w:p w14:paraId="6DE30349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雨水调蓄池 / 塘：暂存超标雨水，错峰外排，削减峰值</w:t>
            </w:r>
          </w:p>
          <w:p w14:paraId="1D2F049E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初期雨水弃流：屋面弃流 2～3mm、地面 3～5mm，控制污染</w:t>
            </w:r>
          </w:p>
          <w:p w14:paraId="63A51C8A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3. 末端排放与管网</w:t>
            </w:r>
          </w:p>
          <w:p w14:paraId="6D52060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雨污分流：雨水独立管网，避免混接污染中国政府网</w:t>
            </w:r>
          </w:p>
          <w:p w14:paraId="3B1FE196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智能截流井 / 溢流口：晴天截污、雨天控流，防倒灌</w:t>
            </w:r>
          </w:p>
          <w:p w14:paraId="5D7CD96C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管网提标：按丹东降雨特征，设计重现期取3～5 年，内涝防治按30～50 年校核</w:t>
            </w:r>
          </w:p>
          <w:p w14:paraId="61F58B0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4. 综合管控</w:t>
            </w:r>
          </w:p>
          <w:p w14:paraId="5A881648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  <w:t>源头入渗 + 滞蓄、中途调蓄、末端有序排放，实现总量 + 峰值 + 污染三重控制</w:t>
            </w:r>
          </w:p>
          <w:p w14:paraId="20D250F1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033F741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077C3E9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6393F88">
      <w:r>
        <w:rPr>
          <w:rFonts w:hint="eastAsia"/>
        </w:rPr>
        <w:t>1）景观专业竣工图纸及设计说明，应包括总平面竖向图、场地铺装平面图、种植图、雨水生态调蓄、处理设施详图；</w:t>
      </w:r>
    </w:p>
    <w:p w14:paraId="37FEBEA6">
      <w:r>
        <w:rPr>
          <w:rFonts w:hint="eastAsia"/>
        </w:rPr>
        <w:t>2）给排水专业竣工图纸及设计说明，应包括室外雨水平面图、雨水利用设施工艺图或调蓄设施详图；</w:t>
      </w:r>
    </w:p>
    <w:p w14:paraId="12C6403B">
      <w:r>
        <w:rPr>
          <w:rFonts w:hint="eastAsia"/>
        </w:rPr>
        <w:t>3）雨水外排控制专项规划设计实施文件，应包括年径流总量控制率计算书、设计控制雨量计算书、场地雨水综合利用方案等。</w:t>
      </w:r>
    </w:p>
    <w:p w14:paraId="75FE4B0A"/>
    <w:p w14:paraId="55622FE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A1AC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9E7226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F53A0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2D"/>
    <w:rsid w:val="00074A38"/>
    <w:rsid w:val="00085226"/>
    <w:rsid w:val="000E250D"/>
    <w:rsid w:val="00387B1D"/>
    <w:rsid w:val="00541896"/>
    <w:rsid w:val="0059212D"/>
    <w:rsid w:val="008060BF"/>
    <w:rsid w:val="0090411A"/>
    <w:rsid w:val="5457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2F66056823042BCA0DE405C905D24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1EDB07-ACF4-4CC7-9B1F-6B124523D378}"/>
      </w:docPartPr>
      <w:docPartBody>
        <w:p w14:paraId="3331F0B8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3302F1DEF0C4A7EA55A25F6271A25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0C2307-8F22-4C18-AFD6-42B1FA5E0B02}"/>
      </w:docPartPr>
      <w:docPartBody>
        <w:p w14:paraId="3FA17628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9E"/>
    <w:rsid w:val="00575E9E"/>
    <w:rsid w:val="00592A5E"/>
    <w:rsid w:val="005F3C81"/>
    <w:rsid w:val="00687DEF"/>
    <w:rsid w:val="00C1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02F66056823042BCA0DE405C905D24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3302F1DEF0C4A7EA55A25F6271A25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1ACA6A7833A41FCBE59C0E9F13164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33A175D736D48CBB331A5A7009E7E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422</Characters>
  <Lines>3</Lines>
  <Paragraphs>1</Paragraphs>
  <TotalTime>13</TotalTime>
  <ScaleCrop>false</ScaleCrop>
  <LinksUpToDate>false</LinksUpToDate>
  <CharactersWithSpaces>470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文清</cp:lastModifiedBy>
  <dcterms:modified xsi:type="dcterms:W3CDTF">2026-03-28T09:05:19Z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eyJoZGlkIjoiNDUwZmZhOWJkZGIzZDY4YTMwZjZkYTk4ZDIxZTI1OTUiLCJ1c2VySWQiOiIxNzMyNTYwNDgwIn0=</vt:lpwstr>
  </property>
  <property fmtid="{D5CDD505-2E9C-101B-9397-08002B2CF9AE}" pid="3" name="KSOProductBuildVer">
    <vt:lpwstr>2052-12.1.0.25225</vt:lpwstr>
  </property>
  <property fmtid="{D5CDD505-2E9C-101B-9397-08002B2CF9AE}" pid="4" name="ICV">
    <vt:lpwstr>FEEE85A529EE4B7B92E2D46FCAE6A76C_12</vt:lpwstr>
  </property>
</Properties>
</file>