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8EEB">
      <w:pPr>
        <w:pStyle w:val="3"/>
        <w:rPr>
          <w:sz w:val="24"/>
          <w:szCs w:val="40"/>
        </w:rPr>
      </w:pPr>
      <w:r>
        <w:rPr>
          <w:rFonts w:hint="eastAsia"/>
          <w:sz w:val="24"/>
          <w:szCs w:val="40"/>
        </w:rPr>
        <w:t>8.2.5利用场地空间设置绿色雨水基础设施，汇集场地径流进入设施，有效实现雨水的滞蓄与入渗。（15分）</w:t>
      </w:r>
    </w:p>
    <w:p w14:paraId="09B9AD9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14:paraId="1BB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14:paraId="3344E94C">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14:paraId="75B6DCFA">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034850E5">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14:paraId="08540E3A">
            <w:pPr>
              <w:jc w:val="center"/>
              <w:rPr>
                <w:rFonts w:ascii="Times New Roman" w:hAnsi="Times New Roman" w:cs="Times New Roman"/>
                <w:lang w:val="zh-CN"/>
              </w:rPr>
            </w:pPr>
            <w:r>
              <w:rPr>
                <w:rFonts w:ascii="Times New Roman" w:hAnsi="Times New Roman" w:cs="Times New Roman"/>
                <w:lang w:val="zh-CN"/>
              </w:rPr>
              <w:t>自评得分</w:t>
            </w:r>
          </w:p>
        </w:tc>
      </w:tr>
      <w:tr w14:paraId="06DC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14:paraId="2A088A89">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14:paraId="24B765D4">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14:paraId="2ACA2CC1">
            <w:pPr>
              <w:jc w:val="left"/>
              <w:rPr>
                <w:rFonts w:ascii="Times New Roman" w:hAnsi="Times New Roman" w:cs="Times New Roman"/>
              </w:rPr>
            </w:pPr>
            <w:r>
              <w:rPr>
                <w:rFonts w:ascii="Times New Roman" w:hAnsi="Times New Roman" w:cs="Times New Roman"/>
              </w:rPr>
              <w:t>达到40%</w:t>
            </w:r>
          </w:p>
        </w:tc>
        <w:tc>
          <w:tcPr>
            <w:tcW w:w="1701" w:type="dxa"/>
            <w:vAlign w:val="center"/>
          </w:tcPr>
          <w:p w14:paraId="2923A2D2">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14:paraId="572A250C">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440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14:paraId="45267914">
            <w:pPr>
              <w:jc w:val="center"/>
              <w:rPr>
                <w:rFonts w:ascii="Times New Roman" w:hAnsi="Times New Roman" w:cs="Times New Roman"/>
              </w:rPr>
            </w:pPr>
          </w:p>
        </w:tc>
        <w:tc>
          <w:tcPr>
            <w:tcW w:w="3828" w:type="dxa"/>
            <w:vMerge w:val="continue"/>
            <w:vAlign w:val="center"/>
          </w:tcPr>
          <w:p w14:paraId="6FFFD525">
            <w:pPr>
              <w:jc w:val="left"/>
              <w:rPr>
                <w:rFonts w:ascii="Times New Roman" w:hAnsi="Times New Roman" w:cs="Times New Roman"/>
              </w:rPr>
            </w:pPr>
          </w:p>
        </w:tc>
        <w:tc>
          <w:tcPr>
            <w:tcW w:w="1275" w:type="dxa"/>
            <w:vAlign w:val="center"/>
          </w:tcPr>
          <w:p w14:paraId="44A0E753">
            <w:pPr>
              <w:jc w:val="left"/>
              <w:rPr>
                <w:rFonts w:ascii="Times New Roman" w:hAnsi="Times New Roman" w:cs="Times New Roman"/>
              </w:rPr>
            </w:pPr>
            <w:r>
              <w:rPr>
                <w:rFonts w:ascii="Times New Roman" w:hAnsi="Times New Roman" w:cs="Times New Roman"/>
              </w:rPr>
              <w:t>达到60%</w:t>
            </w:r>
          </w:p>
        </w:tc>
        <w:tc>
          <w:tcPr>
            <w:tcW w:w="1701" w:type="dxa"/>
            <w:vAlign w:val="center"/>
          </w:tcPr>
          <w:p w14:paraId="6BD730CB">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14:paraId="3977CD30">
            <w:pPr>
              <w:jc w:val="center"/>
              <w:rPr>
                <w:rFonts w:ascii="Times New Roman" w:hAnsi="Times New Roman" w:cs="Times New Roman"/>
                <w:lang w:val="zh-CN"/>
              </w:rPr>
            </w:pPr>
          </w:p>
        </w:tc>
      </w:tr>
      <w:tr w14:paraId="5C97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6F75E8F2">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14:paraId="19767B2F">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14:paraId="716089DF">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14:paraId="1F961B03">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194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288AF400">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14:paraId="75BF7B4A">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14:paraId="4DE9B72D">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14:paraId="1A250567">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1A0E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3A4EF1AE">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14:paraId="019A763C">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14:paraId="1DB67CFE">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14:paraId="7CE5E1A8">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0D0A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14:paraId="465B82C1">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3FB3F8D6">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14:paraId="765DF198">
                <w:pPr>
                  <w:jc w:val="center"/>
                  <w:rPr>
                    <w:rFonts w:ascii="Times New Roman" w:hAnsi="Times New Roman" w:cs="Times New Roman"/>
                    <w:lang w:val="zh-CN"/>
                  </w:rPr>
                </w:pPr>
                <w:bookmarkStart w:id="0" w:name="_GoBack"/>
                <w:bookmarkEnd w:id="0"/>
                <w:r>
                  <w:rPr>
                    <w:rFonts w:hint="eastAsia" w:ascii="Times New Roman" w:hAnsi="Times New Roman" w:eastAsia="宋体" w:cs="Times New Roman"/>
                    <w:szCs w:val="21"/>
                    <w:lang w:val="en-US" w:eastAsia="zh-CN"/>
                  </w:rPr>
                  <w:t>13</w:t>
                </w:r>
                <w:r>
                  <w:rPr>
                    <w:rFonts w:hint="eastAsia" w:ascii="Times New Roman" w:hAnsi="Times New Roman" w:eastAsia="宋体" w:cs="Times New Roman"/>
                    <w:szCs w:val="21"/>
                  </w:rPr>
                  <w:t xml:space="preserve"> </w:t>
                </w:r>
              </w:p>
            </w:tc>
          </w:sdtContent>
        </w:sdt>
      </w:tr>
    </w:tbl>
    <w:p w14:paraId="6172184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1194496">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辽宁丹东</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rFonts w:hint="eastAsia"/>
              <w:u w:val="single"/>
              <w:lang w:val="en-US" w:eastAsia="zh-CN"/>
            </w:rPr>
            <w:t>800</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14:paraId="0CA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691990">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14:paraId="680698E1">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14:paraId="6023DB69">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14:paraId="5AA525A8">
            <w:pPr>
              <w:jc w:val="center"/>
            </w:pPr>
            <w:r>
              <w:rPr>
                <w:rFonts w:hint="eastAsia"/>
              </w:rPr>
              <w:t>面积（</w:t>
            </w:r>
            <w:r>
              <w:t>m</w:t>
            </w:r>
            <w:r>
              <w:rPr>
                <w:vertAlign w:val="superscript"/>
              </w:rPr>
              <w:t>2</w:t>
            </w:r>
            <w:r>
              <w:rPr>
                <w:rFonts w:hint="eastAsia"/>
              </w:rPr>
              <w:t>）</w:t>
            </w:r>
          </w:p>
        </w:tc>
      </w:tr>
      <w:tr w14:paraId="0EA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24A5BC0">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9AEA65A">
                <w:pPr>
                  <w:jc w:val="center"/>
                </w:pPr>
                <w:r>
                  <w:rPr>
                    <w:rFonts w:hint="eastAsia" w:ascii="Times New Roman" w:hAnsi="Times New Roman" w:eastAsia="宋体" w:cs="Times New Roman"/>
                    <w:szCs w:val="21"/>
                    <w:lang w:val="en-US" w:eastAsia="zh-CN"/>
                  </w:rPr>
                  <w:t>1800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C3076C2">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A489C76">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14:paraId="6BCA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D730E63">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1FBBB18">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31453401">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6E8CB41">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w:t>
                </w:r>
              </w:p>
            </w:tc>
          </w:sdtContent>
        </w:sdt>
      </w:tr>
      <w:tr w14:paraId="0CF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BD0D868">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60AF99B">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E167166">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0E09117A">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14:paraId="093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964910">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47DE0C0">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2C23FBFE">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B871BBB">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14:paraId="02F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B527E4">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DC83822">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51E562F">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7DCF6C8">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2630</w:t>
                </w:r>
              </w:p>
            </w:tc>
          </w:sdtContent>
        </w:sdt>
      </w:tr>
      <w:tr w14:paraId="080E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BD016FF">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90F32BF">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471A8867">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5FEFA80A">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4200</w:t>
                </w:r>
              </w:p>
            </w:tc>
          </w:sdtContent>
        </w:sdt>
      </w:tr>
      <w:tr w14:paraId="2D4E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14:paraId="2D4D9325">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1412B8F4">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62.6%</w:t>
                </w:r>
              </w:p>
            </w:tc>
          </w:sdtContent>
        </w:sdt>
      </w:tr>
    </w:tbl>
    <w:p w14:paraId="2829619E">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14:paraId="062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5692A4B1">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14:paraId="52C50047">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14:paraId="6AA885CC">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14:paraId="5E21D36D">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14:paraId="52B8E127">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14:paraId="19A265DE">
            <w:r>
              <w:rPr>
                <w:rFonts w:hint="eastAsia"/>
              </w:rPr>
              <w:t>其他</w:t>
            </w:r>
            <w:sdt>
              <w:sdtPr>
                <w:rPr>
                  <w:u w:val="single"/>
                </w:rPr>
                <w:id w:val="1755865117"/>
              </w:sdtPr>
              <w:sdtEndPr>
                <w:rPr>
                  <w:u w:val="single"/>
                </w:rPr>
              </w:sdtEndPr>
              <w:sdtContent>
                <w:r>
                  <w:rPr>
                    <w:u w:val="single"/>
                  </w:rPr>
                  <w:t xml:space="preserve">   </w:t>
                </w:r>
              </w:sdtContent>
            </w:sdt>
          </w:p>
        </w:tc>
      </w:tr>
      <w:tr w14:paraId="5448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3141B8C9">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14:paraId="415ABDE7">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51341A50">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56E24F45">
                <w:pPr>
                  <w:jc w:val="center"/>
                </w:pPr>
                <w:r>
                  <w:rPr>
                    <w:rFonts w:hint="eastAsia" w:ascii="Times New Roman" w:hAnsi="Times New Roman" w:eastAsia="宋体" w:cs="Times New Roman"/>
                    <w:szCs w:val="21"/>
                    <w:lang w:val="en-US" w:eastAsia="zh-CN"/>
                  </w:rPr>
                  <w:t>400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14:paraId="4307EC99">
                <w:pPr>
                  <w:jc w:val="center"/>
                </w:pPr>
                <w:r>
                  <w:rPr>
                    <w:rFonts w:hint="eastAsia" w:ascii="Times New Roman" w:hAnsi="Times New Roman" w:eastAsia="宋体" w:cs="Times New Roman"/>
                    <w:szCs w:val="21"/>
                    <w:lang w:val="en-US" w:eastAsia="zh-CN"/>
                  </w:rPr>
                  <w:t>400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20C7DF4">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14:paraId="6804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14:paraId="062E46A8">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38594DE9">
                <w:pPr>
                  <w:jc w:val="center"/>
                </w:pPr>
                <w:r>
                  <w:rPr>
                    <w:rFonts w:hint="eastAsia" w:ascii="Times New Roman" w:hAnsi="Times New Roman" w:eastAsia="宋体" w:cs="Times New Roman"/>
                    <w:szCs w:val="21"/>
                    <w:lang w:val="en-US" w:eastAsia="zh-CN"/>
                  </w:rPr>
                  <w:t>1600</w:t>
                </w: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14:paraId="550EA3EF">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DB3DBD2">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57.1%</w:t>
                </w:r>
              </w:p>
            </w:tc>
          </w:sdtContent>
        </w:sdt>
      </w:tr>
    </w:tbl>
    <w:p w14:paraId="1C0CF9E2">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B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1B6A0CE">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本项目严格遵循“海绵城市”建设理念，在场地空间内系统性布局了绿色雨水基础设施。</w:t>
            </w:r>
          </w:p>
          <w:p w14:paraId="1FB709CF">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竖向设计上，将约1800㎡的中心绿地设计为下凹式绿地，并结合景观节点设置雨水花园，使其低于周边路面10-20cm，有效收集并滞蓄地表径流。铺装方面，人行道、广场及生态停车场大面积采用透水砖与植草砖，透水铺装比例超过硬质铺装总面积的50%，从源头实现雨水渗透。</w:t>
            </w:r>
          </w:p>
          <w:p w14:paraId="430054AF">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此外，项目还利用植被浅沟连接各低影响开发设施，将超标雨水有序输送至景观水体进行调蓄与净化，形成了一套“渗、滞、蓄、净、用、排”相结合的生态雨水管理体系，有效降低了场地径流系数，提升了区域防涝能力。</w:t>
            </w:r>
          </w:p>
        </w:tc>
      </w:tr>
    </w:tbl>
    <w:p w14:paraId="4C8E765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05F1C43">
      <w:pPr>
        <w:rPr>
          <w:rFonts w:ascii="Times New Roman" w:hAnsi="Times New Roman" w:eastAsia="宋体" w:cs="Times New Roman"/>
          <w:szCs w:val="21"/>
        </w:rPr>
      </w:pPr>
      <w:r>
        <w:rPr>
          <w:rFonts w:ascii="Times New Roman" w:hAnsi="Times New Roman" w:eastAsia="宋体" w:cs="Times New Roman"/>
          <w:szCs w:val="21"/>
        </w:rPr>
        <w:t>提交材料及要求：</w:t>
      </w:r>
    </w:p>
    <w:p w14:paraId="2BCBE758">
      <w:pPr>
        <w:ind w:left="210" w:hanging="210" w:hangingChars="100"/>
      </w:pPr>
      <w:r>
        <w:rPr>
          <w:rFonts w:hint="eastAsia"/>
        </w:rPr>
        <w:t>1）</w:t>
      </w:r>
      <w:r>
        <w:t>场地竖向总平面图，汇水分区平面图，景观总平面及竖向图、场地铺装平面图、种植图、地面生态设施详图、雨水断接做法及室外雨水排水平面等景观专业设计文件</w:t>
      </w:r>
      <w:r>
        <w:rPr>
          <w:rFonts w:hint="eastAsia"/>
        </w:rPr>
        <w:t>；</w:t>
      </w:r>
    </w:p>
    <w:p w14:paraId="4CC58626">
      <w:pPr>
        <w:ind w:left="210" w:hanging="210" w:hangingChars="100"/>
      </w:pPr>
      <w:r>
        <w:rPr>
          <w:rFonts w:hint="eastAsia"/>
        </w:rPr>
        <w:t>2）雨水专项规划设计方案或场地雨水综合利用方案。</w:t>
      </w:r>
    </w:p>
    <w:p w14:paraId="50B84794">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4C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89EE88F">
            <w:pPr>
              <w:rPr>
                <w:rFonts w:ascii="Times New Roman" w:hAnsi="Times New Roman" w:eastAsia="宋体" w:cs="Times New Roman"/>
                <w:kern w:val="0"/>
                <w:sz w:val="20"/>
                <w:szCs w:val="21"/>
              </w:rPr>
            </w:pPr>
          </w:p>
        </w:tc>
      </w:tr>
    </w:tbl>
    <w:p w14:paraId="7B4089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1D730A"/>
    <w:rsid w:val="0026107B"/>
    <w:rsid w:val="006552F3"/>
    <w:rsid w:val="0076205E"/>
    <w:rsid w:val="007A5FE8"/>
    <w:rsid w:val="00915131"/>
    <w:rsid w:val="009D65B8"/>
    <w:rsid w:val="00A25A4B"/>
    <w:rsid w:val="00B14C90"/>
    <w:rsid w:val="00B53497"/>
    <w:rsid w:val="00C36817"/>
    <w:rsid w:val="00EB66A5"/>
    <w:rsid w:val="00EF2034"/>
    <w:rsid w:val="08EF6E63"/>
    <w:rsid w:val="61D3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14:paraId="197CADF7">
          <w:pPr>
            <w:pStyle w:val="5"/>
            <w:rPr>
              <w:rFonts w:hint="eastAsia"/>
            </w:rPr>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14:paraId="5A29FB16">
          <w:pPr>
            <w:pStyle w:val="6"/>
            <w:rPr>
              <w:rFonts w:hint="eastAsia"/>
            </w:rPr>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14:paraId="50EA503D">
          <w:pPr>
            <w:pStyle w:val="7"/>
            <w:rPr>
              <w:rFonts w:hint="eastAsia"/>
            </w:rPr>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14:paraId="545B35AF">
          <w:pPr>
            <w:pStyle w:val="8"/>
            <w:rPr>
              <w:rFonts w:hint="eastAsia"/>
            </w:rPr>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14:paraId="4DF48B72">
          <w:pPr>
            <w:pStyle w:val="9"/>
            <w:rPr>
              <w:rFonts w:hint="eastAsia"/>
            </w:rPr>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14:paraId="2C9F41BD">
          <w:pPr>
            <w:pStyle w:val="10"/>
            <w:rPr>
              <w:rFonts w:hint="eastAsia"/>
            </w:rPr>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14:paraId="263759D5">
          <w:pPr>
            <w:pStyle w:val="11"/>
            <w:rPr>
              <w:rFonts w:hint="eastAsia"/>
            </w:rPr>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14:paraId="1ED8CDBC">
          <w:pPr>
            <w:pStyle w:val="12"/>
            <w:rPr>
              <w:rFonts w:hint="eastAsia"/>
            </w:rPr>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14:paraId="5D15DCF5">
          <w:pPr>
            <w:pStyle w:val="13"/>
            <w:rPr>
              <w:rFonts w:hint="eastAsia"/>
            </w:rPr>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14:paraId="591D2715">
          <w:pPr>
            <w:pStyle w:val="14"/>
            <w:rPr>
              <w:rFonts w:hint="eastAsia"/>
            </w:rPr>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14:paraId="1535131A">
          <w:pPr>
            <w:pStyle w:val="15"/>
            <w:rPr>
              <w:rFonts w:hint="eastAsia"/>
            </w:rPr>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14:paraId="4A414608">
          <w:pPr>
            <w:pStyle w:val="16"/>
            <w:rPr>
              <w:rFonts w:hint="eastAsia"/>
            </w:rPr>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14:paraId="7C20EC5A">
          <w:pPr>
            <w:pStyle w:val="17"/>
            <w:rPr>
              <w:rFonts w:hint="eastAsia"/>
            </w:rPr>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14:paraId="73C29700">
          <w:pPr>
            <w:pStyle w:val="18"/>
            <w:rPr>
              <w:rFonts w:hint="eastAsia"/>
            </w:rPr>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14:paraId="6104C870">
          <w:pPr>
            <w:pStyle w:val="19"/>
            <w:rPr>
              <w:rFonts w:hint="eastAsia"/>
            </w:rPr>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14:paraId="6385C607">
          <w:pPr>
            <w:pStyle w:val="20"/>
            <w:rPr>
              <w:rFonts w:hint="eastAsia"/>
            </w:rPr>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14:paraId="6C6B934D">
          <w:pPr>
            <w:pStyle w:val="21"/>
            <w:rPr>
              <w:rFonts w:hint="eastAsia"/>
            </w:rPr>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14:paraId="7D66E92B">
          <w:pPr>
            <w:pStyle w:val="22"/>
            <w:rPr>
              <w:rFonts w:hint="eastAsia"/>
            </w:rPr>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14:paraId="21264231">
          <w:pPr>
            <w:pStyle w:val="23"/>
            <w:rPr>
              <w:rFonts w:hint="eastAsia"/>
            </w:rPr>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14:paraId="004E448C">
          <w:pPr>
            <w:pStyle w:val="24"/>
            <w:rPr>
              <w:rFonts w:hint="eastAsia"/>
            </w:rPr>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14:paraId="6AB1B6A2">
          <w:pPr>
            <w:pStyle w:val="25"/>
            <w:rPr>
              <w:rFonts w:hint="eastAsia"/>
            </w:rPr>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14:paraId="787758FB">
          <w:pPr>
            <w:pStyle w:val="26"/>
            <w:rPr>
              <w:rFonts w:hint="eastAsia"/>
            </w:rPr>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14:paraId="2F31CDA3">
          <w:pPr>
            <w:pStyle w:val="27"/>
            <w:rPr>
              <w:rFonts w:hint="eastAsia"/>
            </w:rPr>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14:paraId="41A84496">
          <w:pPr>
            <w:pStyle w:val="28"/>
            <w:rPr>
              <w:rFonts w:hint="eastAsia"/>
            </w:rPr>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14:paraId="36A554FF">
          <w:pPr>
            <w:pStyle w:val="29"/>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2C0047"/>
    <w:rsid w:val="005368C5"/>
    <w:rsid w:val="00575AF2"/>
    <w:rsid w:val="006552F3"/>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868</Characters>
  <Lines>5</Lines>
  <Paragraphs>1</Paragraphs>
  <TotalTime>17</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文清</cp:lastModifiedBy>
  <dcterms:modified xsi:type="dcterms:W3CDTF">2026-03-28T07:46:26Z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eyJoZGlkIjoiNDUwZmZhOWJkZGIzZDY4YTMwZjZkYTk4ZDIxZTI1OTUiLCJ1c2VySWQiOiIxNzMyNTYwNDgwIn0=</vt:lpwstr>
  </property>
  <property fmtid="{D5CDD505-2E9C-101B-9397-08002B2CF9AE}" pid="3" name="KSOProductBuildVer">
    <vt:lpwstr>2052-12.1.0.25225</vt:lpwstr>
  </property>
  <property fmtid="{D5CDD505-2E9C-101B-9397-08002B2CF9AE}" pid="4" name="ICV">
    <vt:lpwstr>F7B98AB524A44D7EB797071211B29DA1_12</vt:lpwstr>
  </property>
</Properties>
</file>