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A662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 w14:paraId="034CD8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B9E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6110E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76268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5549F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A773E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865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644F8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F0F8EB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12E2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03F13AB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CE1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550CDD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98CFED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6118E6C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135B33D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4C89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0707C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65CDC3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降低碳排放</w:t>
            </w:r>
          </w:p>
        </w:tc>
        <w:tc>
          <w:tcPr>
            <w:tcW w:w="984" w:type="pct"/>
            <w:vAlign w:val="center"/>
          </w:tcPr>
          <w:p w14:paraId="03788F0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43130A9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</w:p>
        </w:tc>
      </w:tr>
      <w:tr w14:paraId="1FB2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8B5F1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26F1221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0BB5735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4A937FB73CD743B3B77889E23E5155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4B15D5A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28C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E5DD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4023DFF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3B5413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76B0D4716A234EFA9A9F8E9B488576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23893A4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00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467EF9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 w14:paraId="1028D44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0964D8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678E4522D529401CBED65C1F582765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7CC60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C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5C3E2D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5876012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4885095D344B4F05AB1D082CDB1BFF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4216CCEC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 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E8FBE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E13C3E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请简要说明设计创新的内容，具备的社会和经济效益。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2F0A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672F64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保护生态环境：采用生态防堤技术</w:t>
            </w:r>
          </w:p>
          <w:p w14:paraId="7AD007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设计创新内容：</w:t>
            </w:r>
          </w:p>
          <w:p w14:paraId="3DEF90D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摒弃传统高能耗、硬质化的混凝土堤坝，设计采用“生态防堤技术”。通过构建多级生态护坡、水下森林、透水坝及石笼结构，利用本土植物与天然材料的自然韧性，将单一的水利设施转化为具有自我修复能力的“活体”缓冲带。设计上强调景观与功能的融合，使防堤系统兼具海绵城市蓄排功能与生物栖息地功能。</w:t>
            </w:r>
          </w:p>
          <w:p w14:paraId="28C66ED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1898B5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社会经济效益：</w:t>
            </w:r>
          </w:p>
          <w:p w14:paraId="03F82B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72EBA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社会效益：显著提升区域气候韧性，有效抵御洪涝与风暴潮威胁，保障周边居民生命财产安全；修复水体生态链，提升生物多样性，为市民提供亲水、宜人的绿色公共空间，改善人居环境质量。</w:t>
            </w:r>
          </w:p>
          <w:p w14:paraId="26B984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B33858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经济效益：相比传统刚性工程，大幅降低全生命周期的维护成本；减少因极端天气造成的潜在经济损失；通过生态景观的营造，提升周边土地价值，带动文旅及休闲产业的发展。</w:t>
            </w:r>
          </w:p>
          <w:p w14:paraId="0EC315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72C04B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保障安全健康：设计融入人文关怀</w:t>
            </w:r>
          </w:p>
          <w:p w14:paraId="147A0A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设计创新内容：</w:t>
            </w:r>
          </w:p>
          <w:p w14:paraId="484DF9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空间设计与设施配置上，采用“全龄友好+健康监测”的集成模式。针对老年人、儿童及特殊需求群体，设计无障碍通行流线与防跌倒设施；引入非接触式智能感应设备、环境质量监测系统（如温湿度、空气质量、水质），确保物理环境的安全与卫生。在材质上严格选用零甲醛、抗菌、防滑的绿色建材。</w:t>
            </w:r>
          </w:p>
          <w:p w14:paraId="33E353F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649EA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社会经济效益：</w:t>
            </w:r>
          </w:p>
          <w:p w14:paraId="645CE37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76543D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社会效益：构建包容性强的社会环境，降低社区内意外伤害风险，增强居民安全感与归属感；通过环境干预促进户外活动与身心健康，缓解公共卫生压力。</w:t>
            </w:r>
          </w:p>
          <w:p w14:paraId="4A87ED7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6FF4A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经济效益：减少因环境致病或意外伤害产生的社会医疗支出；通过健康舒适的环境提升场所使用频率，吸引更多商业或公共服务资源入驻，形成良性循环。</w:t>
            </w:r>
          </w:p>
          <w:p w14:paraId="27C54E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4B7C60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智慧友好运行：数字化赋能运营管理</w:t>
            </w:r>
          </w:p>
          <w:p w14:paraId="32EC9EB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设计创新内容：</w:t>
            </w:r>
          </w:p>
          <w:p w14:paraId="3460E5A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搭建“端-边-云”协同的智慧运维中枢。通过部署物联网传感器（人流、能耗、安防），结合AI算法实现公共设施的“按需运行”（如智慧照明根据人流自动调节、智慧灌溉根据墒情自动补水）。设计上注重交互界面的友好性，提供一键求助、实时信息推送及无障碍信息服务，确保技术对不同年龄段人群均“易用、可用”。</w:t>
            </w:r>
          </w:p>
          <w:p w14:paraId="221A1AB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3099A5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社会经济效益：</w:t>
            </w:r>
          </w:p>
          <w:p w14:paraId="2A00D6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CDD40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社会效益：提升公共服务的响应速度与精准度，实现24小时全天候安全监控与应急保障；减少资源浪费，践行绿色低碳生活理念，提升市民对现代城市管理的满意度。</w:t>
            </w:r>
          </w:p>
          <w:p w14:paraId="19DA32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D1BCB5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经济效益：通过精细化管理降低水、电、人力等运营成本约20%-30%；延长设施设备使用寿命；智慧化带来的“科技感”可有效提升区域吸引力，促进数字消费与流量经济。</w:t>
            </w:r>
          </w:p>
          <w:p w14:paraId="0A1B539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85925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传承历史文化：开设民俗乐器制作体验馆</w:t>
            </w:r>
          </w:p>
          <w:p w14:paraId="650E6FE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设计创新内容：</w:t>
            </w:r>
          </w:p>
          <w:p w14:paraId="175BC0D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空间设计中植入“活态传承”理念，设立民俗乐器制作体验馆。设计上打破传统静态陈列的博物馆模式，采用“前店后厂+沉浸式工坊”的布局。利用数字化声学技术还原传统乐器音律，设置从选材、制作到演奏的全链条体验动线，让游客（尤其是青少年）在亲手刨削、调音的过程中，感知传统工艺与非遗文化的魅力。</w:t>
            </w:r>
          </w:p>
          <w:p w14:paraId="0C8DF3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68C42F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社会经济效益：</w:t>
            </w:r>
          </w:p>
          <w:p w14:paraId="112F8B0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3E5E7F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社会效益：有效解决非物质文化遗产“后继无人”的困境，通过互动体验增强文化认同感与自豪感；丰富社区文化内涵，塑造独特的城市记忆点，促进代际之间的文化传递。</w:t>
            </w:r>
          </w:p>
          <w:p w14:paraId="250DEAB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C77FC8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济效益：通过“手艺+体验+文创”的模式，创造乐器销售、体验课程、文创衍生品等多元盈利点；利用独特的文化IP吸引游客，延长停留时间，带动周边餐饮、住宿等关联消费，实现文化价值向经济价值的有效转化。</w:t>
            </w:r>
          </w:p>
          <w:p w14:paraId="19B372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8A1B4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总结：</w:t>
            </w:r>
          </w:p>
          <w:p w14:paraId="174E39C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该设计创新通过生态技术软化边界、健康标准定义空间、数字智慧提升效率、文化活态赋能体验，构建了一个集生态韧性、人文关怀、高效治理与文化传承于一体的复合系统。在社会层面实现了从“基础保障”向“幸福生活”的跃升；在经济层面推动了从“高能耗维护”向“可持续增值”的转型，具有显著的综合效益与推广价值。</w:t>
            </w:r>
          </w:p>
        </w:tc>
      </w:tr>
    </w:tbl>
    <w:p w14:paraId="361D676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11517C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13D6DE7"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ascii="宋体" w:hAnsi="宋体" w:cs="宋体"/>
          <w:kern w:val="0"/>
          <w:szCs w:val="21"/>
        </w:rPr>
        <w:t>相关设计文件</w:t>
      </w:r>
      <w:r>
        <w:rPr>
          <w:rFonts w:hint="eastAsia" w:ascii="宋体" w:hAnsi="宋体" w:cs="宋体"/>
          <w:kern w:val="0"/>
          <w:szCs w:val="21"/>
        </w:rPr>
        <w:t>；</w:t>
      </w:r>
    </w:p>
    <w:p w14:paraId="6CAE1D7E"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</w:t>
      </w:r>
      <w:r>
        <w:rPr>
          <w:rFonts w:ascii="宋体" w:hAnsi="宋体" w:cs="宋体"/>
          <w:kern w:val="0"/>
          <w:szCs w:val="21"/>
        </w:rPr>
        <w:t>分析论证报告及相关证明、说明文件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6EAE5E29"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</w:p>
    <w:p w14:paraId="325F409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3F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3E61F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DAC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30CCE"/>
    <w:rsid w:val="00070BCA"/>
    <w:rsid w:val="00074A38"/>
    <w:rsid w:val="0024527C"/>
    <w:rsid w:val="002C3821"/>
    <w:rsid w:val="00693BB9"/>
    <w:rsid w:val="00713998"/>
    <w:rsid w:val="008E6A29"/>
    <w:rsid w:val="00B87999"/>
    <w:rsid w:val="00BE4120"/>
    <w:rsid w:val="00D31F93"/>
    <w:rsid w:val="00E22939"/>
    <w:rsid w:val="718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 w14:paraId="393A7428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 w14:paraId="640786B0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937FB73CD743B3B77889E23E5155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167799-C6DF-4E1B-B5D0-7EB907915457}"/>
      </w:docPartPr>
      <w:docPartBody>
        <w:p w14:paraId="7DAB624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B0D4716A234EFA9A9F8E9B488576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A70F9-4C49-45C6-9D41-D2E49C0B10F6}"/>
      </w:docPartPr>
      <w:docPartBody>
        <w:p w14:paraId="12BD08F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8E4522D529401CBED65C1F58276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9E66A0-FDED-4A5A-A21F-03E7985F7FCB}"/>
      </w:docPartPr>
      <w:docPartBody>
        <w:p w14:paraId="6DC53506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5095D344B4F05AB1D082CDB1BFF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C9C8DB-DD2A-4C19-A541-6B860735E495}"/>
      </w:docPartPr>
      <w:docPartBody>
        <w:p w14:paraId="60D3ADA9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B87999"/>
    <w:rsid w:val="00C12AE8"/>
    <w:rsid w:val="00D67A36"/>
    <w:rsid w:val="00D72A91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937FB73CD743B3B77889E23E51558E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76B0D4716A234EFA9A9F8E9B4885761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678E4522D529401CBED65C1F5827657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4885095D344B4F05AB1D082CDB1BFF9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244</Characters>
  <Lines>2</Lines>
  <Paragraphs>1</Paragraphs>
  <TotalTime>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文清</cp:lastModifiedBy>
  <dcterms:modified xsi:type="dcterms:W3CDTF">2026-03-27T09:04:42Z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1591E1386C3C46EB8AB80C3C68635DFB_12</vt:lpwstr>
  </property>
</Properties>
</file>