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84DF" w14:textId="264633FB" w:rsidR="001B2951" w:rsidRDefault="001B2951" w:rsidP="00D07ED0">
      <w:pPr>
        <w:pStyle w:val="a9"/>
      </w:pPr>
      <w:r w:rsidRPr="001B2951">
        <w:rPr>
          <w:rFonts w:hint="eastAsia"/>
        </w:rPr>
        <w:t>作品名称：数字叶脉——崇文堂</w:t>
      </w:r>
      <w:r w:rsidRPr="001B2951">
        <w:rPr>
          <w:rFonts w:hint="eastAsia"/>
        </w:rPr>
        <w:t xml:space="preserve"> </w:t>
      </w:r>
    </w:p>
    <w:p w14:paraId="419FAC46" w14:textId="77777777" w:rsidR="001B2951" w:rsidRDefault="001B2951" w:rsidP="001B2951">
      <w:pPr>
        <w:pStyle w:val="a9"/>
      </w:pPr>
      <w:r w:rsidRPr="001B2951">
        <w:rPr>
          <w:rFonts w:hint="eastAsia"/>
        </w:rPr>
        <w:t>参赛院校：石家庄职业技术学院</w:t>
      </w:r>
      <w:r w:rsidRPr="001B2951">
        <w:rPr>
          <w:rFonts w:hint="eastAsia"/>
        </w:rPr>
        <w:t xml:space="preserve"> </w:t>
      </w:r>
    </w:p>
    <w:p w14:paraId="134C563F" w14:textId="56979F3B" w:rsidR="00172A38" w:rsidRDefault="001B2951" w:rsidP="001B2951">
      <w:pPr>
        <w:pStyle w:val="a9"/>
        <w:rPr>
          <w:rFonts w:hint="eastAsia"/>
        </w:rPr>
      </w:pPr>
      <w:r w:rsidRPr="001B2951">
        <w:rPr>
          <w:rFonts w:hint="eastAsia"/>
        </w:rPr>
        <w:t>作品编号</w:t>
      </w:r>
      <w:r w:rsidRPr="001B2951">
        <w:rPr>
          <w:rFonts w:hint="eastAsia"/>
        </w:rPr>
        <w:t xml:space="preserve">: </w:t>
      </w:r>
      <w:r w:rsidR="00172A38">
        <w:rPr>
          <w:rFonts w:hint="eastAsia"/>
        </w:rPr>
        <w:t>GZB80011</w:t>
      </w:r>
    </w:p>
    <w:p w14:paraId="251DD804" w14:textId="1D0CE8D1" w:rsidR="001B2951" w:rsidRDefault="001B2951" w:rsidP="001B2951">
      <w:pPr>
        <w:pStyle w:val="a9"/>
      </w:pPr>
      <w:r w:rsidRPr="001B2951">
        <w:rPr>
          <w:rFonts w:hint="eastAsia"/>
        </w:rPr>
        <w:t>指导老师：赵亮、贡桐丹、刘雅琪</w:t>
      </w:r>
      <w:r w:rsidRPr="001B2951">
        <w:rPr>
          <w:rFonts w:hint="eastAsia"/>
        </w:rPr>
        <w:t xml:space="preserve"> </w:t>
      </w:r>
    </w:p>
    <w:p w14:paraId="422A36F9" w14:textId="77777777" w:rsidR="001B2951" w:rsidRDefault="001B2951" w:rsidP="001B2951">
      <w:pPr>
        <w:pStyle w:val="a9"/>
      </w:pPr>
      <w:r w:rsidRPr="001B2951">
        <w:rPr>
          <w:rFonts w:hint="eastAsia"/>
        </w:rPr>
        <w:t>参赛学员：白竣仁、张庭硕、刘向宇、高振云、闫晨洋</w:t>
      </w:r>
    </w:p>
    <w:p w14:paraId="2A041E11" w14:textId="7B023C5A" w:rsidR="00D07ED0" w:rsidRDefault="001B2951" w:rsidP="00D07ED0">
      <w:pPr>
        <w:pStyle w:val="a9"/>
        <w:numPr>
          <w:ilvl w:val="0"/>
          <w:numId w:val="5"/>
        </w:numPr>
      </w:pPr>
      <w:r w:rsidRPr="001B2951">
        <w:rPr>
          <w:rFonts w:hint="eastAsia"/>
        </w:rPr>
        <w:t>工程概况</w:t>
      </w:r>
    </w:p>
    <w:p w14:paraId="52BB7DDF" w14:textId="51224028" w:rsidR="001B2951" w:rsidRDefault="001B2951" w:rsidP="00D07ED0">
      <w:pPr>
        <w:pStyle w:val="a9"/>
        <w:ind w:left="560"/>
      </w:pP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本项目坐落于河北省石家庄市正定新区核心区域，地块四至明确：东至谦让路、南至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迎旭路、西接新建规划路、北邻安济路，地理区位优越，交通便捷。建筑总高度</w:t>
      </w:r>
      <w:r w:rsidRPr="001B2951">
        <w:rPr>
          <w:rFonts w:hint="eastAsia"/>
        </w:rPr>
        <w:t xml:space="preserve"> 32.8m</w:t>
      </w:r>
      <w:r w:rsidRPr="001B2951">
        <w:rPr>
          <w:rFonts w:hint="eastAsia"/>
        </w:rPr>
        <w:t>，占地面积达</w:t>
      </w:r>
      <w:r w:rsidRPr="001B2951">
        <w:rPr>
          <w:rFonts w:hint="eastAsia"/>
        </w:rPr>
        <w:t xml:space="preserve"> </w:t>
      </w:r>
      <w:r>
        <w:rPr>
          <w:rFonts w:hint="eastAsia"/>
        </w:rPr>
        <w:t>5571.27</w:t>
      </w:r>
      <w:r w:rsidRPr="001B2951">
        <w:rPr>
          <w:rFonts w:hint="eastAsia"/>
        </w:rPr>
        <w:t>m</w:t>
      </w:r>
      <w:r w:rsidRPr="001B2951">
        <w:rPr>
          <w:rFonts w:hint="eastAsia"/>
        </w:rPr>
        <w:t>²，规模适中且具备充足改造升级空间。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结合学生、老师及后勤人员的日常需求，我们以改造为核心抓手，聚焦三大关键方向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推进升级：一是功能改造，贴合不同人群使用场景优化空间布局；二是节能改造，融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入建筑节能技术与智能数据监测，提升自然资源使用率；三是智能改造，联动低碳环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保大环境需求，通过改造实现资源最大化利用、降低改造成本，最终将现有空间升级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为低碳节能、绿色智能一体化的新型综合活动空间。</w:t>
      </w:r>
    </w:p>
    <w:p w14:paraId="11298A94" w14:textId="77777777" w:rsidR="004B7A49" w:rsidRDefault="001B2951" w:rsidP="00BA0303">
      <w:pPr>
        <w:pStyle w:val="a9"/>
      </w:pP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设计理念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（一）、项目以“功能适配、低碳节能、智能高效”为核心目标，聚焦师生及后勤人员核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心需求，以改造为核心路径推进三维度升级：功能改造聚焦多元场景适配，优化空间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布局以兼顾办公、活动、住宿等复合需求；节能改造融入新型节能技术与智能监测体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系，最大化提升自然资源利用率；智能改造紧扣低碳环保发展趋势，通过技术整合实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现资源高效循环、建造成本优化，最终将既有建筑升级为集“低碳节能、绿色生态、智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能便捷”于一体的新型综合活动空间，全方位满足师生日常使用与对外展示交流需求。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（二）</w:t>
      </w:r>
    </w:p>
    <w:p w14:paraId="3E34385E" w14:textId="77777777" w:rsidR="004B7A49" w:rsidRDefault="001B2951" w:rsidP="00BA0303">
      <w:pPr>
        <w:pStyle w:val="a9"/>
      </w:pPr>
      <w:r w:rsidRPr="001B2951">
        <w:rPr>
          <w:rFonts w:hint="eastAsia"/>
        </w:rPr>
        <w:t xml:space="preserve">1. </w:t>
      </w:r>
      <w:r w:rsidRPr="001B2951">
        <w:rPr>
          <w:rFonts w:hint="eastAsia"/>
        </w:rPr>
        <w:t>多能互补，梯级利用：以地源热泵为核心，耦合太阳能集热、冷却塔辅助、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余热回收技术，形成“空调</w:t>
      </w:r>
      <w:r w:rsidRPr="001B2951">
        <w:rPr>
          <w:rFonts w:hint="eastAsia"/>
        </w:rPr>
        <w:t>-</w:t>
      </w:r>
      <w:r w:rsidRPr="001B2951">
        <w:rPr>
          <w:rFonts w:hint="eastAsia"/>
        </w:rPr>
        <w:t>余热</w:t>
      </w:r>
      <w:r w:rsidRPr="001B2951">
        <w:rPr>
          <w:rFonts w:hint="eastAsia"/>
        </w:rPr>
        <w:t>-</w:t>
      </w:r>
      <w:r w:rsidRPr="001B2951">
        <w:rPr>
          <w:rFonts w:hint="eastAsia"/>
        </w:rPr>
        <w:t>热水”一体化能源链路，实现能源分级高效利用。</w:t>
      </w:r>
    </w:p>
    <w:p w14:paraId="21714AB5" w14:textId="77777777" w:rsidR="004B7A49" w:rsidRDefault="001B2951" w:rsidP="00BA0303">
      <w:pPr>
        <w:pStyle w:val="a9"/>
      </w:pPr>
      <w:r w:rsidRPr="001B2951">
        <w:rPr>
          <w:rFonts w:hint="eastAsia"/>
        </w:rPr>
        <w:t xml:space="preserve"> 2. </w:t>
      </w:r>
      <w:r w:rsidRPr="001B2951">
        <w:rPr>
          <w:rFonts w:hint="eastAsia"/>
        </w:rPr>
        <w:t>低碳优先，清洁替代：依托地热能、太阳能等可再生能源，替代传统“冷水机组</w:t>
      </w:r>
      <w:r w:rsidRPr="001B2951">
        <w:rPr>
          <w:rFonts w:hint="eastAsia"/>
        </w:rPr>
        <w:t>+</w:t>
      </w:r>
      <w:r w:rsidRPr="001B2951">
        <w:rPr>
          <w:rFonts w:hint="eastAsia"/>
        </w:rPr>
        <w:t>锅</w:t>
      </w:r>
      <w:r w:rsidRPr="001B2951">
        <w:rPr>
          <w:rFonts w:hint="eastAsia"/>
        </w:rPr>
        <w:t xml:space="preserve"> </w:t>
      </w:r>
      <w:r w:rsidRPr="001B2951">
        <w:rPr>
          <w:rFonts w:hint="eastAsia"/>
        </w:rPr>
        <w:t>炉”高能耗模式，最大化降低建筑碳排放，契合碳中和目标。</w:t>
      </w:r>
    </w:p>
    <w:p w14:paraId="487F7462" w14:textId="77777777" w:rsidR="004B7A49" w:rsidRDefault="001B2951" w:rsidP="00BA0303">
      <w:pPr>
        <w:pStyle w:val="a9"/>
      </w:pPr>
      <w:r w:rsidRPr="001B2951">
        <w:rPr>
          <w:rFonts w:hint="eastAsia"/>
        </w:rPr>
        <w:t xml:space="preserve"> 3. </w:t>
      </w:r>
      <w:r w:rsidRPr="001B2951">
        <w:rPr>
          <w:rFonts w:hint="eastAsia"/>
        </w:rPr>
        <w:t>智能适配</w:t>
      </w:r>
      <w:r w:rsidR="00BA0303">
        <w:rPr>
          <w:rFonts w:hint="eastAsia"/>
        </w:rPr>
        <w:t>：</w:t>
      </w:r>
    </w:p>
    <w:p w14:paraId="02EB7E26" w14:textId="1004E934" w:rsidR="004B7A49" w:rsidRDefault="004B7A49" w:rsidP="00BA0303">
      <w:pPr>
        <w:pStyle w:val="a9"/>
      </w:pPr>
      <w:r>
        <w:rPr>
          <w:rFonts w:hint="eastAsia"/>
        </w:rPr>
        <w:t>A.</w:t>
      </w:r>
      <w:r w:rsidR="00BA0303">
        <w:rPr>
          <w:rFonts w:hint="eastAsia"/>
        </w:rPr>
        <w:t>夏季制冷工况：室内温度＞设定制冷温度（</w:t>
      </w:r>
      <w:r w:rsidR="00BA0303">
        <w:rPr>
          <w:rFonts w:hint="eastAsia"/>
        </w:rPr>
        <w:t>26</w:t>
      </w:r>
      <w:r w:rsidR="00BA0303">
        <w:rPr>
          <w:rFonts w:hint="eastAsia"/>
        </w:rPr>
        <w:t>℃），土壤温度≥</w:t>
      </w:r>
      <w:r w:rsidR="00BA0303">
        <w:rPr>
          <w:rFonts w:hint="eastAsia"/>
        </w:rPr>
        <w:t>20</w:t>
      </w:r>
      <w:r w:rsidR="00BA0303">
        <w:rPr>
          <w:rFonts w:hint="eastAsia"/>
        </w:rPr>
        <w:t>℃，启动制冷模式。</w:t>
      </w:r>
    </w:p>
    <w:p w14:paraId="02AAEB83" w14:textId="52AF2044" w:rsidR="004B7A49" w:rsidRDefault="004B7A49" w:rsidP="00BA0303">
      <w:pPr>
        <w:pStyle w:val="a9"/>
      </w:pPr>
      <w:r>
        <w:rPr>
          <w:rFonts w:hint="eastAsia"/>
        </w:rPr>
        <w:t>B.</w:t>
      </w:r>
      <w:r w:rsidR="00BA0303">
        <w:rPr>
          <w:rFonts w:hint="eastAsia"/>
        </w:rPr>
        <w:t>冬季供暖工况：室内温度＜设定供暖温度（</w:t>
      </w:r>
      <w:r w:rsidR="00BA0303">
        <w:rPr>
          <w:rFonts w:hint="eastAsia"/>
        </w:rPr>
        <w:t>20</w:t>
      </w:r>
      <w:r w:rsidR="00BA0303">
        <w:rPr>
          <w:rFonts w:hint="eastAsia"/>
        </w:rPr>
        <w:t>℃），土壤温度≤</w:t>
      </w:r>
      <w:r w:rsidR="00BA0303">
        <w:rPr>
          <w:rFonts w:hint="eastAsia"/>
        </w:rPr>
        <w:t>15</w:t>
      </w:r>
      <w:r w:rsidR="00BA0303">
        <w:rPr>
          <w:rFonts w:hint="eastAsia"/>
        </w:rPr>
        <w:t>℃，启动供暖模式。</w:t>
      </w:r>
    </w:p>
    <w:p w14:paraId="71BE6E9F" w14:textId="4DA84B13" w:rsidR="004B7A49" w:rsidRDefault="004B7A49" w:rsidP="00BA0303">
      <w:pPr>
        <w:pStyle w:val="a9"/>
      </w:pPr>
      <w:r>
        <w:rPr>
          <w:rFonts w:hint="eastAsia"/>
        </w:rPr>
        <w:t>C.</w:t>
      </w:r>
      <w:r w:rsidR="00BA0303">
        <w:rPr>
          <w:rFonts w:hint="eastAsia"/>
        </w:rPr>
        <w:t>过渡季工况：室内温度在舒适区间（</w:t>
      </w:r>
      <w:r w:rsidR="00BA0303">
        <w:rPr>
          <w:rFonts w:hint="eastAsia"/>
        </w:rPr>
        <w:t>20</w:t>
      </w:r>
      <w:r w:rsidR="00BA0303">
        <w:rPr>
          <w:rFonts w:hint="eastAsia"/>
        </w:rPr>
        <w:t>℃</w:t>
      </w:r>
      <w:r w:rsidR="00BA0303">
        <w:rPr>
          <w:rFonts w:hint="eastAsia"/>
        </w:rPr>
        <w:t>~26</w:t>
      </w:r>
      <w:r w:rsidR="00BA0303">
        <w:rPr>
          <w:rFonts w:hint="eastAsia"/>
        </w:rPr>
        <w:t>℃），地源热泵机组停机，仅太阳能系统按需运行；</w:t>
      </w:r>
      <w:r w:rsidR="001B2951" w:rsidRPr="001B2951">
        <w:rPr>
          <w:rFonts w:hint="eastAsia"/>
        </w:rPr>
        <w:t>动态调控：基于季节变化、负荷波动设计多运行模式，通过温度反馈、</w:t>
      </w:r>
      <w:r w:rsidR="001B2951" w:rsidRPr="001B2951">
        <w:rPr>
          <w:rFonts w:hint="eastAsia"/>
        </w:rPr>
        <w:t xml:space="preserve"> </w:t>
      </w:r>
      <w:r w:rsidR="001B2951" w:rsidRPr="001B2951">
        <w:rPr>
          <w:rFonts w:hint="eastAsia"/>
        </w:rPr>
        <w:t>模糊</w:t>
      </w:r>
      <w:r w:rsidR="001B2951" w:rsidRPr="001B2951">
        <w:rPr>
          <w:rFonts w:hint="eastAsia"/>
        </w:rPr>
        <w:t xml:space="preserve"> PID</w:t>
      </w:r>
      <w:r w:rsidR="001B2951" w:rsidRPr="001B2951">
        <w:rPr>
          <w:rFonts w:hint="eastAsia"/>
        </w:rPr>
        <w:t>、智能算法实现系统启停、模式切换及参数优化，保障全工况最优能效。</w:t>
      </w:r>
    </w:p>
    <w:p w14:paraId="17EA64AA" w14:textId="79859558" w:rsidR="007D0AFC" w:rsidRDefault="004B7A49" w:rsidP="00BA0303">
      <w:pPr>
        <w:pStyle w:val="a9"/>
      </w:pPr>
      <w:r>
        <w:rPr>
          <w:rFonts w:hint="eastAsia"/>
        </w:rPr>
        <w:t>D.</w:t>
      </w:r>
      <w:r w:rsidR="001B2951" w:rsidRPr="001B2951">
        <w:rPr>
          <w:rFonts w:hint="eastAsia"/>
        </w:rPr>
        <w:t>热平衡优化，长效稳定：通过冷却塔季节性协同、太阳能跨季节储热等机制，维持地</w:t>
      </w:r>
      <w:r w:rsidR="001B2951" w:rsidRPr="001B2951">
        <w:rPr>
          <w:rFonts w:hint="eastAsia"/>
        </w:rPr>
        <w:t xml:space="preserve"> </w:t>
      </w:r>
      <w:r w:rsidR="001B2951" w:rsidRPr="001B2951">
        <w:rPr>
          <w:rFonts w:hint="eastAsia"/>
        </w:rPr>
        <w:t>下土壤冷热量平衡，提升地源热泵</w:t>
      </w:r>
      <w:r w:rsidR="001B2951" w:rsidRPr="001B2951">
        <w:rPr>
          <w:rFonts w:hint="eastAsia"/>
        </w:rPr>
        <w:t xml:space="preserve"> COP</w:t>
      </w:r>
      <w:r w:rsidR="001B2951" w:rsidRPr="001B2951">
        <w:rPr>
          <w:rFonts w:hint="eastAsia"/>
        </w:rPr>
        <w:t>，延长系统使用寿命。</w:t>
      </w:r>
    </w:p>
    <w:p w14:paraId="5B607864" w14:textId="04E214B8" w:rsidR="000117AA" w:rsidRPr="000117AA" w:rsidRDefault="000117AA" w:rsidP="00BA0303">
      <w:pPr>
        <w:pStyle w:val="a9"/>
        <w:ind w:left="440" w:firstLineChars="100" w:firstLine="220"/>
      </w:pPr>
      <w:r w:rsidRPr="000117AA">
        <w:rPr>
          <w:b/>
          <w:bCs/>
        </w:rPr>
        <w:lastRenderedPageBreak/>
        <w:t>资源高效利用</w:t>
      </w:r>
      <w:r w:rsidRPr="000117AA">
        <w:t>：充分利用可再生能源，优化能源系统运行策略，实现能源梯级利用与效率最大化。</w:t>
      </w:r>
    </w:p>
    <w:p w14:paraId="1EF78865" w14:textId="77777777" w:rsidR="000117AA" w:rsidRPr="000117AA" w:rsidRDefault="000117AA" w:rsidP="000117AA">
      <w:pPr>
        <w:pStyle w:val="a9"/>
        <w:ind w:left="720"/>
      </w:pPr>
      <w:r w:rsidRPr="000117AA">
        <w:rPr>
          <w:b/>
          <w:bCs/>
        </w:rPr>
        <w:t>节能降耗</w:t>
      </w:r>
      <w:r w:rsidRPr="000117AA">
        <w:t>：通过围护结构性能提升、高效设备应用及智能控制，有效降低建筑运行能耗。</w:t>
      </w:r>
    </w:p>
    <w:p w14:paraId="19384C08" w14:textId="77777777" w:rsidR="000117AA" w:rsidRPr="000117AA" w:rsidRDefault="000117AA" w:rsidP="000117AA">
      <w:pPr>
        <w:pStyle w:val="a9"/>
        <w:ind w:left="720"/>
      </w:pPr>
      <w:r w:rsidRPr="000117AA">
        <w:rPr>
          <w:b/>
          <w:bCs/>
        </w:rPr>
        <w:t>环境舒适健康</w:t>
      </w:r>
      <w:r w:rsidRPr="000117AA">
        <w:t>：优化室内物理环境，采用合理的送风与温度调控策略，提升人员舒适度。</w:t>
      </w:r>
    </w:p>
    <w:p w14:paraId="1FC9915F" w14:textId="77777777" w:rsidR="000117AA" w:rsidRPr="000117AA" w:rsidRDefault="000117AA" w:rsidP="000117AA">
      <w:pPr>
        <w:pStyle w:val="a9"/>
        <w:ind w:left="720"/>
      </w:pPr>
      <w:r w:rsidRPr="000117AA">
        <w:rPr>
          <w:b/>
          <w:bCs/>
        </w:rPr>
        <w:t>循环可持续</w:t>
      </w:r>
      <w:r w:rsidRPr="000117AA">
        <w:t>：推行水资源回收利用与能源回收技术，减少对外部资源依赖与环境负荷。</w:t>
      </w:r>
    </w:p>
    <w:p w14:paraId="12DAA169" w14:textId="77777777" w:rsidR="000117AA" w:rsidRDefault="000117AA" w:rsidP="000117AA">
      <w:pPr>
        <w:pStyle w:val="a9"/>
        <w:ind w:left="720"/>
      </w:pPr>
      <w:r w:rsidRPr="000117AA">
        <w:rPr>
          <w:b/>
          <w:bCs/>
        </w:rPr>
        <w:t>技术集成创新</w:t>
      </w:r>
      <w:r w:rsidRPr="000117AA">
        <w:t>：结合高效设备与智能控制系统，实现建筑能源管理的精细化与智能化。</w:t>
      </w:r>
    </w:p>
    <w:p w14:paraId="11FBB14F" w14:textId="0F50F908" w:rsidR="00724C04" w:rsidRDefault="00724C04" w:rsidP="00724C04">
      <w:pPr>
        <w:pStyle w:val="a9"/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设计方案</w:t>
      </w:r>
    </w:p>
    <w:p w14:paraId="0327CA7E" w14:textId="710E0BBF" w:rsidR="00320170" w:rsidRPr="00320170" w:rsidRDefault="00320170" w:rsidP="00320170">
      <w:pPr>
        <w:pStyle w:val="a9"/>
        <w:ind w:firstLineChars="300" w:firstLine="660"/>
      </w:pPr>
      <w:r w:rsidRPr="00320170">
        <w:rPr>
          <w:rFonts w:hint="eastAsia"/>
        </w:rPr>
        <w:t>本项目以建筑</w:t>
      </w:r>
      <w:r>
        <w:rPr>
          <w:rFonts w:hint="eastAsia"/>
        </w:rPr>
        <w:t>的使用</w:t>
      </w:r>
      <w:r w:rsidRPr="00320170">
        <w:rPr>
          <w:rFonts w:hint="eastAsia"/>
        </w:rPr>
        <w:t>生命周期为视角，聚焦于从建成到拆除的完整过程，致力于实现校园建筑的低碳化目标。具体路径主要围绕四个维度展开：一是在源头控制资源消耗与碳排放；二是以清洁能源替代传统能源；三是通过技术与管理手段提升能源使用效率；四是加强资源回收与循环利用。</w:t>
      </w:r>
    </w:p>
    <w:p w14:paraId="288FE92A" w14:textId="48A91CF8" w:rsidR="00320170" w:rsidRPr="00320170" w:rsidRDefault="00320170" w:rsidP="00320170">
      <w:pPr>
        <w:pStyle w:val="a9"/>
        <w:ind w:firstLineChars="300" w:firstLine="660"/>
      </w:pPr>
      <w:r w:rsidRPr="00320170">
        <w:rPr>
          <w:rFonts w:hint="eastAsia"/>
        </w:rPr>
        <w:t>方案以当前能耗数据与国内节能规范为基准，严格执行</w:t>
      </w:r>
      <w:r w:rsidR="00843F2A" w:rsidRPr="00176042">
        <w:rPr>
          <w:rFonts w:hint="eastAsia"/>
        </w:rPr>
        <w:t>GB 55015-2021</w:t>
      </w:r>
      <w:r w:rsidR="00843F2A" w:rsidRPr="00176042">
        <w:rPr>
          <w:rFonts w:hint="eastAsia"/>
        </w:rPr>
        <w:t>《建筑节能与可再生能源利用通用规范》（全文强制，</w:t>
      </w:r>
      <w:r w:rsidR="00843F2A" w:rsidRPr="00176042">
        <w:rPr>
          <w:rFonts w:hint="eastAsia"/>
        </w:rPr>
        <w:t>2022-04-01</w:t>
      </w:r>
      <w:r w:rsidR="00843F2A" w:rsidRPr="00176042">
        <w:rPr>
          <w:rFonts w:hint="eastAsia"/>
        </w:rPr>
        <w:t>实施</w:t>
      </w:r>
      <w:r w:rsidR="00843F2A">
        <w:rPr>
          <w:rFonts w:hint="eastAsia"/>
        </w:rPr>
        <w:t xml:space="preserve"> </w:t>
      </w:r>
      <w:r w:rsidR="00843F2A" w:rsidRPr="00457FB7">
        <w:rPr>
          <w:rFonts w:hint="eastAsia"/>
        </w:rPr>
        <w:t>GB 50034-2013</w:t>
      </w:r>
      <w:r w:rsidR="00843F2A">
        <w:rPr>
          <w:rFonts w:hint="eastAsia"/>
        </w:rPr>
        <w:t xml:space="preserve">  GB/T 41016-2021 </w:t>
      </w:r>
      <w:r>
        <w:rPr>
          <w:rFonts w:hint="eastAsia"/>
        </w:rPr>
        <w:t>等国家标准</w:t>
      </w:r>
      <w:r w:rsidRPr="00320170">
        <w:rPr>
          <w:rFonts w:hint="eastAsia"/>
        </w:rPr>
        <w:t>作为先进标杆。在技术选择与评估中，充分纳入了对室内环境品质与项目经济回报周期的考量。</w:t>
      </w:r>
    </w:p>
    <w:p w14:paraId="3643B6A1" w14:textId="33F0BC3D" w:rsidR="00724C04" w:rsidRPr="000117AA" w:rsidRDefault="00320170" w:rsidP="00320170">
      <w:pPr>
        <w:pStyle w:val="a9"/>
      </w:pPr>
      <w:r w:rsidRPr="00320170">
        <w:rPr>
          <w:rFonts w:hint="eastAsia"/>
        </w:rPr>
        <w:t>在既定系统边界内，以既有建筑性能为参照，我们识别并评估了多项关键减排技术及其预期减碳效果。这涵盖在建造与更新环节推广预制装配式工艺与低碳建材，以及在运行维护阶段实施外围护结构节能改造、部署太阳能等可再生能源系统、安装智慧能源管控平台，并推行节水措施等。各项技术均结合实际情况初步估算了其碳减排潜力，共同构成一个兼顾可行性、舒适性与经济性的综合性校园建筑低碳转型方案。</w:t>
      </w:r>
    </w:p>
    <w:p w14:paraId="6B0E04F3" w14:textId="77777777" w:rsidR="000117AA" w:rsidRPr="000117AA" w:rsidRDefault="000117AA" w:rsidP="001B2951">
      <w:pPr>
        <w:pStyle w:val="a9"/>
      </w:pPr>
    </w:p>
    <w:tbl>
      <w:tblPr>
        <w:tblStyle w:val="OPExcelTableContent-3481"/>
        <w:tblW w:w="0" w:type="auto"/>
        <w:tblInd w:w="-289" w:type="dxa"/>
        <w:tblLook w:val="01E0" w:firstRow="1" w:lastRow="1" w:firstColumn="1" w:lastColumn="1" w:noHBand="0" w:noVBand="0"/>
      </w:tblPr>
      <w:tblGrid>
        <w:gridCol w:w="1420"/>
        <w:gridCol w:w="1132"/>
        <w:gridCol w:w="1843"/>
        <w:gridCol w:w="1782"/>
      </w:tblGrid>
      <w:tr w:rsidR="00EE267E" w14:paraId="6925F0F0" w14:textId="64DA612E" w:rsidTr="00E17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0" w:type="dxa"/>
          </w:tcPr>
          <w:p w14:paraId="16248761" w14:textId="6A1B0932" w:rsidR="00EE267E" w:rsidRDefault="00E17A26">
            <w:pPr>
              <w:pStyle w:val="a9"/>
            </w:pPr>
            <w:r>
              <w:rPr>
                <w:rFonts w:hint="eastAsia"/>
              </w:rPr>
              <w:t>设计理念</w:t>
            </w:r>
          </w:p>
        </w:tc>
        <w:tc>
          <w:tcPr>
            <w:tcW w:w="1132" w:type="dxa"/>
          </w:tcPr>
          <w:p w14:paraId="126A61DE" w14:textId="4E06EA1B" w:rsidR="00EE267E" w:rsidRDefault="00EE267E">
            <w:pPr>
              <w:pStyle w:val="a9"/>
            </w:pPr>
          </w:p>
        </w:tc>
        <w:tc>
          <w:tcPr>
            <w:tcW w:w="1843" w:type="dxa"/>
          </w:tcPr>
          <w:p w14:paraId="16393C05" w14:textId="409E37F7" w:rsidR="00EE267E" w:rsidRDefault="00176042">
            <w:pPr>
              <w:pStyle w:val="a9"/>
            </w:pPr>
            <w:r>
              <w:rPr>
                <w:rFonts w:hint="eastAsia"/>
              </w:rPr>
              <w:t>执行标准</w:t>
            </w:r>
          </w:p>
        </w:tc>
        <w:tc>
          <w:tcPr>
            <w:tcW w:w="1782" w:type="dxa"/>
          </w:tcPr>
          <w:p w14:paraId="2CC05266" w14:textId="77777777" w:rsidR="00EE267E" w:rsidRDefault="00EE267E">
            <w:pPr>
              <w:pStyle w:val="a9"/>
            </w:pPr>
            <w:r>
              <w:t>减排策略</w:t>
            </w:r>
          </w:p>
        </w:tc>
      </w:tr>
      <w:tr w:rsidR="00176042" w14:paraId="6BEEF7D8" w14:textId="11A8658D" w:rsidTr="002845E6">
        <w:trPr>
          <w:trHeight w:val="554"/>
        </w:trPr>
        <w:tc>
          <w:tcPr>
            <w:tcW w:w="2552" w:type="dxa"/>
            <w:gridSpan w:val="2"/>
            <w:tcBorders>
              <w:bottom w:val="single" w:sz="4" w:space="0" w:color="FFC94A"/>
            </w:tcBorders>
          </w:tcPr>
          <w:p w14:paraId="5F35F3C5" w14:textId="07E6BCBF" w:rsidR="00176042" w:rsidRDefault="00176042" w:rsidP="00244BF6">
            <w:pPr>
              <w:pStyle w:val="a9"/>
            </w:pPr>
          </w:p>
        </w:tc>
        <w:tc>
          <w:tcPr>
            <w:tcW w:w="1843" w:type="dxa"/>
            <w:vMerge w:val="restart"/>
            <w:tcBorders>
              <w:bottom w:val="single" w:sz="4" w:space="0" w:color="FFC94A"/>
            </w:tcBorders>
          </w:tcPr>
          <w:p w14:paraId="33D5AF19" w14:textId="290F838A" w:rsidR="00176042" w:rsidRDefault="00176042">
            <w:pPr>
              <w:pStyle w:val="a9"/>
            </w:pPr>
            <w:r w:rsidRPr="00176042">
              <w:rPr>
                <w:rFonts w:hint="eastAsia"/>
              </w:rPr>
              <w:t>GB 55015-2021</w:t>
            </w:r>
            <w:r w:rsidRPr="00176042">
              <w:rPr>
                <w:rFonts w:hint="eastAsia"/>
              </w:rPr>
              <w:t>《建筑节能与可再生能源利用通用规范》（全文强制，</w:t>
            </w:r>
            <w:r w:rsidRPr="00176042">
              <w:rPr>
                <w:rFonts w:hint="eastAsia"/>
              </w:rPr>
              <w:t>2022-04-01</w:t>
            </w:r>
            <w:r w:rsidRPr="00176042">
              <w:rPr>
                <w:rFonts w:hint="eastAsia"/>
              </w:rPr>
              <w:t>实施</w:t>
            </w:r>
          </w:p>
        </w:tc>
        <w:tc>
          <w:tcPr>
            <w:tcW w:w="1782" w:type="dxa"/>
            <w:vMerge w:val="restart"/>
            <w:tcBorders>
              <w:bottom w:val="single" w:sz="4" w:space="0" w:color="FFC94A"/>
            </w:tcBorders>
          </w:tcPr>
          <w:p w14:paraId="27AB2674" w14:textId="1B87A079" w:rsidR="00176042" w:rsidRDefault="00176042" w:rsidP="00F94D6E">
            <w:pPr>
              <w:pStyle w:val="a9"/>
            </w:pPr>
            <w:r w:rsidRPr="00EE267E">
              <w:rPr>
                <w:rFonts w:hint="eastAsia"/>
              </w:rPr>
              <w:t>在楼体朝阳侧设置光伏幕墙，</w:t>
            </w:r>
            <w:r w:rsidR="00F12F92">
              <w:rPr>
                <w:rFonts w:hint="eastAsia"/>
              </w:rPr>
              <w:t>楼顶设置光伏板，</w:t>
            </w:r>
            <w:r w:rsidRPr="00EE267E">
              <w:rPr>
                <w:rFonts w:hint="eastAsia"/>
              </w:rPr>
              <w:t>配置智能能源管控系统，高效实现光伏发电与电网供电的优化结合。</w:t>
            </w:r>
          </w:p>
        </w:tc>
      </w:tr>
      <w:tr w:rsidR="00176042" w14:paraId="53A5804C" w14:textId="59A8536C" w:rsidTr="00E17A26">
        <w:tc>
          <w:tcPr>
            <w:tcW w:w="1420" w:type="dxa"/>
          </w:tcPr>
          <w:p w14:paraId="48104C61" w14:textId="77777777" w:rsidR="00176042" w:rsidRDefault="00176042">
            <w:pPr>
              <w:pStyle w:val="a9"/>
            </w:pPr>
            <w:r>
              <w:t>能源替代</w:t>
            </w:r>
          </w:p>
        </w:tc>
        <w:tc>
          <w:tcPr>
            <w:tcW w:w="1132" w:type="dxa"/>
          </w:tcPr>
          <w:p w14:paraId="344EFC9B" w14:textId="77777777" w:rsidR="00176042" w:rsidRDefault="00176042">
            <w:pPr>
              <w:pStyle w:val="a9"/>
            </w:pPr>
            <w:r>
              <w:t>可再生能源应用</w:t>
            </w:r>
          </w:p>
        </w:tc>
        <w:tc>
          <w:tcPr>
            <w:tcW w:w="1843" w:type="dxa"/>
            <w:vMerge/>
          </w:tcPr>
          <w:p w14:paraId="553D9834" w14:textId="7A4FFC2D" w:rsidR="00176042" w:rsidRDefault="00176042">
            <w:pPr>
              <w:pStyle w:val="a9"/>
            </w:pPr>
          </w:p>
        </w:tc>
        <w:tc>
          <w:tcPr>
            <w:tcW w:w="1782" w:type="dxa"/>
            <w:vMerge/>
          </w:tcPr>
          <w:p w14:paraId="3704F130" w14:textId="6CF0A727" w:rsidR="00176042" w:rsidRDefault="00176042">
            <w:pPr>
              <w:pStyle w:val="a9"/>
            </w:pPr>
          </w:p>
        </w:tc>
      </w:tr>
      <w:tr w:rsidR="00EE267E" w14:paraId="70EC70AC" w14:textId="55C6709A" w:rsidTr="00E17A26">
        <w:tc>
          <w:tcPr>
            <w:tcW w:w="1420" w:type="dxa"/>
          </w:tcPr>
          <w:p w14:paraId="0F37D6DA" w14:textId="77777777" w:rsidR="00EE267E" w:rsidRDefault="00EE267E">
            <w:pPr>
              <w:pStyle w:val="a9"/>
            </w:pPr>
            <w:r>
              <w:lastRenderedPageBreak/>
              <w:t>能源替代</w:t>
            </w:r>
          </w:p>
        </w:tc>
        <w:tc>
          <w:tcPr>
            <w:tcW w:w="1132" w:type="dxa"/>
          </w:tcPr>
          <w:p w14:paraId="6C3A2A9B" w14:textId="77777777" w:rsidR="00EE267E" w:rsidRDefault="00EE267E">
            <w:pPr>
              <w:pStyle w:val="a9"/>
            </w:pPr>
            <w:r>
              <w:t>可再生能源应用</w:t>
            </w:r>
          </w:p>
        </w:tc>
        <w:tc>
          <w:tcPr>
            <w:tcW w:w="1843" w:type="dxa"/>
          </w:tcPr>
          <w:p w14:paraId="0E816C1B" w14:textId="1720306A" w:rsidR="00EE267E" w:rsidRDefault="00176042">
            <w:pPr>
              <w:pStyle w:val="a9"/>
            </w:pPr>
            <w:r w:rsidRPr="00EE267E">
              <w:rPr>
                <w:rFonts w:hint="eastAsia"/>
              </w:rPr>
              <w:t>严格执行国家标准</w:t>
            </w:r>
            <w:r w:rsidR="005209D5">
              <w:rPr>
                <w:rFonts w:hint="eastAsia"/>
              </w:rPr>
              <w:t>GB 55015-2021</w:t>
            </w:r>
          </w:p>
        </w:tc>
        <w:tc>
          <w:tcPr>
            <w:tcW w:w="1782" w:type="dxa"/>
          </w:tcPr>
          <w:p w14:paraId="161CFB96" w14:textId="653B02E7" w:rsidR="00EE267E" w:rsidRDefault="00EE267E">
            <w:pPr>
              <w:pStyle w:val="a9"/>
            </w:pPr>
            <w:r w:rsidRPr="00EE267E">
              <w:rPr>
                <w:rFonts w:hint="eastAsia"/>
              </w:rPr>
              <w:t>采用太阳能光热为主、电加热为辅的方式保障生活热水供应</w:t>
            </w:r>
            <w:r w:rsidR="00176042">
              <w:t xml:space="preserve"> </w:t>
            </w:r>
          </w:p>
        </w:tc>
      </w:tr>
      <w:tr w:rsidR="00EE267E" w14:paraId="095F3333" w14:textId="39D2A113" w:rsidTr="00E17A26">
        <w:tc>
          <w:tcPr>
            <w:tcW w:w="1420" w:type="dxa"/>
          </w:tcPr>
          <w:p w14:paraId="39AB65C1" w14:textId="77777777" w:rsidR="00EE267E" w:rsidRDefault="00EE267E">
            <w:pPr>
              <w:pStyle w:val="a9"/>
            </w:pPr>
            <w:r>
              <w:t>节能提效</w:t>
            </w:r>
          </w:p>
        </w:tc>
        <w:tc>
          <w:tcPr>
            <w:tcW w:w="1132" w:type="dxa"/>
          </w:tcPr>
          <w:p w14:paraId="7F6B6CE9" w14:textId="77777777" w:rsidR="00EE267E" w:rsidRDefault="00EE267E">
            <w:pPr>
              <w:pStyle w:val="a9"/>
            </w:pPr>
            <w:r>
              <w:t>围护结构性能提升</w:t>
            </w:r>
          </w:p>
        </w:tc>
        <w:tc>
          <w:tcPr>
            <w:tcW w:w="1843" w:type="dxa"/>
          </w:tcPr>
          <w:p w14:paraId="573E11A4" w14:textId="48EE047C" w:rsidR="00EE267E" w:rsidRDefault="00176042">
            <w:pPr>
              <w:pStyle w:val="a9"/>
            </w:pPr>
            <w:r w:rsidRPr="00EE267E">
              <w:rPr>
                <w:rFonts w:hint="eastAsia"/>
              </w:rPr>
              <w:t>严格遵循国家标准</w:t>
            </w:r>
            <w:r w:rsidR="005209D5">
              <w:rPr>
                <w:rFonts w:hint="eastAsia"/>
              </w:rPr>
              <w:t>GB 55015-2021</w:t>
            </w:r>
          </w:p>
        </w:tc>
        <w:tc>
          <w:tcPr>
            <w:tcW w:w="1782" w:type="dxa"/>
          </w:tcPr>
          <w:p w14:paraId="0337A91B" w14:textId="7BCCC77A" w:rsidR="00EE267E" w:rsidRPr="00EE267E" w:rsidRDefault="00EE267E" w:rsidP="00EE267E">
            <w:pPr>
              <w:pStyle w:val="a9"/>
            </w:pPr>
            <w:r w:rsidRPr="00EE267E">
              <w:rPr>
                <w:rFonts w:hint="eastAsia"/>
              </w:rPr>
              <w:t>选用三玻两腔</w:t>
            </w:r>
            <w:r w:rsidRPr="00EE267E">
              <w:rPr>
                <w:rFonts w:hint="eastAsia"/>
              </w:rPr>
              <w:t>Low-E</w:t>
            </w:r>
            <w:r w:rsidRPr="00EE267E">
              <w:rPr>
                <w:rFonts w:hint="eastAsia"/>
              </w:rPr>
              <w:t>玻璃提升保温隔热效果，缝隙加装橡胶密封条，按主导风向侧不开窗原则降低冷热风渗透。</w:t>
            </w:r>
          </w:p>
        </w:tc>
      </w:tr>
      <w:tr w:rsidR="00457FB7" w14:paraId="602D6ED2" w14:textId="77777777" w:rsidTr="00E17A26">
        <w:tc>
          <w:tcPr>
            <w:tcW w:w="1420" w:type="dxa"/>
            <w:vMerge w:val="restart"/>
          </w:tcPr>
          <w:p w14:paraId="4EE67CA5" w14:textId="3AA5C7D8" w:rsidR="00457FB7" w:rsidRDefault="00457FB7" w:rsidP="00457FB7">
            <w:pPr>
              <w:pStyle w:val="a9"/>
            </w:pPr>
            <w:r>
              <w:rPr>
                <w:rFonts w:hint="eastAsia"/>
              </w:rPr>
              <w:t>节能提效</w:t>
            </w:r>
          </w:p>
        </w:tc>
        <w:tc>
          <w:tcPr>
            <w:tcW w:w="1132" w:type="dxa"/>
            <w:vAlign w:val="center"/>
          </w:tcPr>
          <w:p w14:paraId="7B48B31C" w14:textId="1495742F" w:rsidR="00457FB7" w:rsidRDefault="00457FB7" w:rsidP="00457FB7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照明节能</w:t>
            </w:r>
          </w:p>
        </w:tc>
        <w:tc>
          <w:tcPr>
            <w:tcW w:w="1843" w:type="dxa"/>
            <w:vAlign w:val="center"/>
          </w:tcPr>
          <w:p w14:paraId="2F0C2BF7" w14:textId="724C3623" w:rsidR="00457FB7" w:rsidRDefault="00176042" w:rsidP="00457FB7">
            <w:pPr>
              <w:pStyle w:val="a9"/>
            </w:pPr>
            <w:r w:rsidRPr="00457FB7">
              <w:rPr>
                <w:rFonts w:hint="eastAsia"/>
              </w:rPr>
              <w:t>严格依照《建筑照明设计标准》</w:t>
            </w:r>
            <w:r w:rsidRPr="00457FB7">
              <w:rPr>
                <w:rFonts w:hint="eastAsia"/>
              </w:rPr>
              <w:t>GB 50034-2013</w:t>
            </w:r>
          </w:p>
        </w:tc>
        <w:tc>
          <w:tcPr>
            <w:tcW w:w="1782" w:type="dxa"/>
          </w:tcPr>
          <w:p w14:paraId="00FF60B3" w14:textId="7F46A9F2" w:rsidR="00457FB7" w:rsidRPr="00EE267E" w:rsidRDefault="00457FB7" w:rsidP="00457FB7">
            <w:pPr>
              <w:pStyle w:val="a9"/>
            </w:pPr>
            <w:r w:rsidRPr="00457FB7">
              <w:rPr>
                <w:rFonts w:hint="eastAsia"/>
              </w:rPr>
              <w:t>采用飞利浦超高效型</w:t>
            </w:r>
            <w:r w:rsidRPr="00457FB7">
              <w:rPr>
                <w:rFonts w:hint="eastAsia"/>
              </w:rPr>
              <w:t>LED</w:t>
            </w:r>
            <w:r w:rsidRPr="00457FB7">
              <w:rPr>
                <w:rFonts w:hint="eastAsia"/>
              </w:rPr>
              <w:t>智能化灯具，部署室内照度传感设备，结合实时采光数据智能调节照明系统运行功率，同步搭建校园能耗监测平台，强化能耗动态管控效能。</w:t>
            </w:r>
          </w:p>
        </w:tc>
      </w:tr>
      <w:tr w:rsidR="00457FB7" w14:paraId="15159C65" w14:textId="3B6933F8" w:rsidTr="00E17A26">
        <w:tc>
          <w:tcPr>
            <w:tcW w:w="1420" w:type="dxa"/>
            <w:vMerge/>
          </w:tcPr>
          <w:p w14:paraId="243BDC76" w14:textId="09F2975F" w:rsidR="00457FB7" w:rsidRDefault="00457FB7" w:rsidP="00457FB7">
            <w:pPr>
              <w:pStyle w:val="a9"/>
            </w:pPr>
          </w:p>
        </w:tc>
        <w:tc>
          <w:tcPr>
            <w:tcW w:w="1132" w:type="dxa"/>
          </w:tcPr>
          <w:p w14:paraId="2785566D" w14:textId="77777777" w:rsidR="00457FB7" w:rsidRDefault="00457FB7" w:rsidP="00457FB7">
            <w:pPr>
              <w:pStyle w:val="a9"/>
            </w:pPr>
            <w:r>
              <w:t>暖通空调系统设备能效提升</w:t>
            </w:r>
          </w:p>
        </w:tc>
        <w:tc>
          <w:tcPr>
            <w:tcW w:w="1843" w:type="dxa"/>
          </w:tcPr>
          <w:p w14:paraId="41516DB3" w14:textId="18A605EC" w:rsidR="00457FB7" w:rsidRDefault="00176042" w:rsidP="00457FB7">
            <w:pPr>
              <w:pStyle w:val="a9"/>
            </w:pPr>
            <w:r w:rsidRPr="00EE267E">
              <w:rPr>
                <w:rFonts w:hint="eastAsia"/>
              </w:rPr>
              <w:t>严格依据国家标准</w:t>
            </w:r>
            <w:r w:rsidR="005209D5">
              <w:rPr>
                <w:rFonts w:hint="eastAsia"/>
              </w:rPr>
              <w:t>GB 55015-2021</w:t>
            </w:r>
          </w:p>
        </w:tc>
        <w:tc>
          <w:tcPr>
            <w:tcW w:w="1782" w:type="dxa"/>
          </w:tcPr>
          <w:p w14:paraId="6BEA42E8" w14:textId="1EB8B071" w:rsidR="00457FB7" w:rsidRPr="00EE267E" w:rsidRDefault="00457FB7" w:rsidP="00457FB7">
            <w:pPr>
              <w:pStyle w:val="a9"/>
            </w:pPr>
            <w:r w:rsidRPr="00EE267E">
              <w:rPr>
                <w:rFonts w:hint="eastAsia"/>
              </w:rPr>
              <w:t>对原有螺杆式冷水机组进行改造，升级</w:t>
            </w:r>
            <w:r w:rsidR="00F12F92" w:rsidRPr="00F12F92">
              <w:rPr>
                <w:rFonts w:hint="eastAsia"/>
                <w:sz w:val="30"/>
                <w:szCs w:val="30"/>
              </w:rPr>
              <w:t>地源热泵</w:t>
            </w:r>
            <w:r w:rsidR="00F12F92" w:rsidRPr="00F12F92">
              <w:rPr>
                <w:rFonts w:hint="eastAsia"/>
                <w:sz w:val="30"/>
                <w:szCs w:val="30"/>
              </w:rPr>
              <w:t>+</w:t>
            </w:r>
            <w:r w:rsidR="00F12F92" w:rsidRPr="00F12F92">
              <w:rPr>
                <w:rFonts w:hint="eastAsia"/>
                <w:sz w:val="30"/>
                <w:szCs w:val="30"/>
              </w:rPr>
              <w:t>冷却塔</w:t>
            </w:r>
            <w:r w:rsidR="00F12F92" w:rsidRPr="00F12F92">
              <w:rPr>
                <w:rFonts w:hint="eastAsia"/>
                <w:sz w:val="30"/>
                <w:szCs w:val="30"/>
              </w:rPr>
              <w:t>+</w:t>
            </w:r>
            <w:r w:rsidR="00F12F92" w:rsidRPr="00F12F92">
              <w:rPr>
                <w:rFonts w:hint="eastAsia"/>
                <w:sz w:val="30"/>
                <w:szCs w:val="30"/>
              </w:rPr>
              <w:t>太阳能复合能源系统</w:t>
            </w:r>
            <w:r w:rsidRPr="00EE267E">
              <w:rPr>
                <w:rFonts w:hint="eastAsia"/>
              </w:rPr>
              <w:t>，采用效率优先运行模式，同步回收地源热泵余热用于生活热水预热。</w:t>
            </w:r>
          </w:p>
        </w:tc>
      </w:tr>
      <w:tr w:rsidR="00457FB7" w14:paraId="7D772705" w14:textId="2191F08B" w:rsidTr="00E17A26">
        <w:tc>
          <w:tcPr>
            <w:tcW w:w="1420" w:type="dxa"/>
          </w:tcPr>
          <w:p w14:paraId="791D878F" w14:textId="77777777" w:rsidR="00457FB7" w:rsidRDefault="00457FB7" w:rsidP="00457FB7">
            <w:pPr>
              <w:pStyle w:val="a9"/>
            </w:pPr>
            <w:r>
              <w:lastRenderedPageBreak/>
              <w:t>节能提效</w:t>
            </w:r>
          </w:p>
        </w:tc>
        <w:tc>
          <w:tcPr>
            <w:tcW w:w="1132" w:type="dxa"/>
          </w:tcPr>
          <w:p w14:paraId="7CE673FA" w14:textId="77777777" w:rsidR="00457FB7" w:rsidRDefault="00457FB7" w:rsidP="00457FB7">
            <w:pPr>
              <w:pStyle w:val="a9"/>
            </w:pPr>
            <w:r>
              <w:t>智能控制系统</w:t>
            </w:r>
          </w:p>
        </w:tc>
        <w:tc>
          <w:tcPr>
            <w:tcW w:w="1843" w:type="dxa"/>
          </w:tcPr>
          <w:p w14:paraId="2FFC47EA" w14:textId="09665B81" w:rsidR="00457FB7" w:rsidRDefault="00176042" w:rsidP="00457FB7">
            <w:pPr>
              <w:pStyle w:val="a9"/>
            </w:pPr>
            <w:r w:rsidRPr="00EE267E">
              <w:rPr>
                <w:rFonts w:hint="eastAsia"/>
              </w:rPr>
              <w:t>严格执行国家标准</w:t>
            </w:r>
            <w:r w:rsidR="005209D5">
              <w:rPr>
                <w:rFonts w:hint="eastAsia"/>
              </w:rPr>
              <w:t>GB 55015-2021</w:t>
            </w:r>
          </w:p>
        </w:tc>
        <w:tc>
          <w:tcPr>
            <w:tcW w:w="1782" w:type="dxa"/>
          </w:tcPr>
          <w:p w14:paraId="486828CB" w14:textId="498F00B2" w:rsidR="00457FB7" w:rsidRPr="003C0E77" w:rsidRDefault="00457FB7" w:rsidP="00457FB7">
            <w:pPr>
              <w:pStyle w:val="a9"/>
            </w:pPr>
            <w:r w:rsidRPr="00EE267E">
              <w:rPr>
                <w:rFonts w:hint="eastAsia"/>
              </w:rPr>
              <w:t>依托自然通风减少春秋季空调运行，对礼堂送风系统进行改造，采用座椅下送风与高位侧送风口组合设计，提升送风效能与舒适体验</w:t>
            </w:r>
          </w:p>
          <w:p w14:paraId="7C5FACDA" w14:textId="5EF1CB1C" w:rsidR="00457FB7" w:rsidRPr="00EE267E" w:rsidRDefault="00457FB7" w:rsidP="00457FB7">
            <w:pPr>
              <w:pStyle w:val="a9"/>
            </w:pPr>
          </w:p>
        </w:tc>
      </w:tr>
      <w:tr w:rsidR="00457FB7" w14:paraId="1476788D" w14:textId="45C23886" w:rsidTr="00E17A26">
        <w:tc>
          <w:tcPr>
            <w:tcW w:w="1420" w:type="dxa"/>
          </w:tcPr>
          <w:p w14:paraId="2C7F3D7E" w14:textId="77777777" w:rsidR="00457FB7" w:rsidRDefault="00457FB7" w:rsidP="00457FB7">
            <w:pPr>
              <w:pStyle w:val="a9"/>
            </w:pPr>
            <w:r>
              <w:t>回收利用</w:t>
            </w:r>
          </w:p>
        </w:tc>
        <w:tc>
          <w:tcPr>
            <w:tcW w:w="1132" w:type="dxa"/>
          </w:tcPr>
          <w:p w14:paraId="2866C645" w14:textId="77777777" w:rsidR="00457FB7" w:rsidRDefault="00457FB7" w:rsidP="00457FB7">
            <w:pPr>
              <w:pStyle w:val="a9"/>
            </w:pPr>
            <w:r>
              <w:t>水资源回用技术</w:t>
            </w:r>
          </w:p>
        </w:tc>
        <w:tc>
          <w:tcPr>
            <w:tcW w:w="1843" w:type="dxa"/>
          </w:tcPr>
          <w:p w14:paraId="09D10116" w14:textId="0DA90FBC" w:rsidR="00457FB7" w:rsidRDefault="00176042" w:rsidP="00457FB7">
            <w:pPr>
              <w:pStyle w:val="a9"/>
            </w:pPr>
            <w:r w:rsidRPr="00EE267E">
              <w:rPr>
                <w:rFonts w:hint="eastAsia"/>
              </w:rPr>
              <w:t>严格遵循国家标准</w:t>
            </w:r>
            <w:r w:rsidR="001238DA">
              <w:rPr>
                <w:rFonts w:hint="eastAsia"/>
              </w:rPr>
              <w:t>GB/T 41016-2021</w:t>
            </w:r>
          </w:p>
        </w:tc>
        <w:tc>
          <w:tcPr>
            <w:tcW w:w="1782" w:type="dxa"/>
          </w:tcPr>
          <w:p w14:paraId="32236F6D" w14:textId="618A0929" w:rsidR="00457FB7" w:rsidRDefault="00457FB7" w:rsidP="00457FB7">
            <w:pPr>
              <w:pStyle w:val="a9"/>
            </w:pPr>
            <w:r w:rsidRPr="00EE267E">
              <w:rPr>
                <w:rFonts w:hint="eastAsia"/>
              </w:rPr>
              <w:t>在办公、酒店、礼堂屋顶设置雨水收集系统，经沉淀、蓄存处理后，供给楼内卫生间冲厕使用。</w:t>
            </w:r>
          </w:p>
        </w:tc>
      </w:tr>
    </w:tbl>
    <w:p w14:paraId="0A6F0D3F" w14:textId="14047EC4" w:rsidR="007D0AFC" w:rsidRDefault="007D0AFC">
      <w:pPr>
        <w:pStyle w:val="a9"/>
      </w:pPr>
    </w:p>
    <w:sectPr w:rsidR="007D0AF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9DFC" w14:textId="77777777" w:rsidR="00800F3F" w:rsidRDefault="00800F3F" w:rsidP="00D07ED0">
      <w:r>
        <w:separator/>
      </w:r>
    </w:p>
  </w:endnote>
  <w:endnote w:type="continuationSeparator" w:id="0">
    <w:p w14:paraId="4A9E4799" w14:textId="77777777" w:rsidR="00800F3F" w:rsidRDefault="00800F3F" w:rsidP="00D0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4744" w14:textId="77777777" w:rsidR="00800F3F" w:rsidRDefault="00800F3F" w:rsidP="00D07ED0">
      <w:r>
        <w:separator/>
      </w:r>
    </w:p>
  </w:footnote>
  <w:footnote w:type="continuationSeparator" w:id="0">
    <w:p w14:paraId="2037453F" w14:textId="77777777" w:rsidR="00800F3F" w:rsidRDefault="00800F3F" w:rsidP="00D0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D48"/>
    <w:multiLevelType w:val="hybridMultilevel"/>
    <w:tmpl w:val="D7BCC1E8"/>
    <w:lvl w:ilvl="0" w:tplc="92F08A32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2D18763E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A2A636BA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C9E4DD26">
      <w:numFmt w:val="decimal"/>
      <w:lvlText w:val=""/>
      <w:lvlJc w:val="left"/>
    </w:lvl>
    <w:lvl w:ilvl="4" w:tplc="A028B81A">
      <w:numFmt w:val="decimal"/>
      <w:lvlText w:val=""/>
      <w:lvlJc w:val="left"/>
    </w:lvl>
    <w:lvl w:ilvl="5" w:tplc="4FC6C81A">
      <w:numFmt w:val="decimal"/>
      <w:lvlText w:val=""/>
      <w:lvlJc w:val="left"/>
    </w:lvl>
    <w:lvl w:ilvl="6" w:tplc="20B2CA92">
      <w:numFmt w:val="decimal"/>
      <w:lvlText w:val=""/>
      <w:lvlJc w:val="left"/>
    </w:lvl>
    <w:lvl w:ilvl="7" w:tplc="B8D69748">
      <w:numFmt w:val="decimal"/>
      <w:lvlText w:val=""/>
      <w:lvlJc w:val="left"/>
    </w:lvl>
    <w:lvl w:ilvl="8" w:tplc="4F305332">
      <w:numFmt w:val="decimal"/>
      <w:lvlText w:val=""/>
      <w:lvlJc w:val="left"/>
    </w:lvl>
  </w:abstractNum>
  <w:abstractNum w:abstractNumId="1" w15:restartNumberingAfterBreak="0">
    <w:nsid w:val="0CC1671A"/>
    <w:multiLevelType w:val="hybridMultilevel"/>
    <w:tmpl w:val="1A22F8F6"/>
    <w:lvl w:ilvl="0" w:tplc="9ABEF650">
      <w:start w:val="1"/>
      <w:numFmt w:val="decimal"/>
      <w:lvlText w:val="☑"/>
      <w:lvlJc w:val="left"/>
      <w:pPr>
        <w:ind w:left="288" w:hanging="288"/>
      </w:pPr>
    </w:lvl>
    <w:lvl w:ilvl="1" w:tplc="0B90E4C2">
      <w:start w:val="1"/>
      <w:numFmt w:val="decimal"/>
      <w:lvlText w:val="☑"/>
      <w:lvlJc w:val="left"/>
      <w:pPr>
        <w:ind w:left="720" w:hanging="288"/>
      </w:pPr>
    </w:lvl>
    <w:lvl w:ilvl="2" w:tplc="78F262AC">
      <w:start w:val="1"/>
      <w:numFmt w:val="decimal"/>
      <w:lvlText w:val="☑"/>
      <w:lvlJc w:val="left"/>
      <w:pPr>
        <w:ind w:left="1152" w:hanging="288"/>
      </w:pPr>
    </w:lvl>
    <w:lvl w:ilvl="3" w:tplc="BB821B94">
      <w:numFmt w:val="decimal"/>
      <w:lvlText w:val=""/>
      <w:lvlJc w:val="left"/>
    </w:lvl>
    <w:lvl w:ilvl="4" w:tplc="526E96F6">
      <w:numFmt w:val="decimal"/>
      <w:lvlText w:val=""/>
      <w:lvlJc w:val="left"/>
    </w:lvl>
    <w:lvl w:ilvl="5" w:tplc="F9EC61EA">
      <w:numFmt w:val="decimal"/>
      <w:lvlText w:val=""/>
      <w:lvlJc w:val="left"/>
    </w:lvl>
    <w:lvl w:ilvl="6" w:tplc="DE5E4194">
      <w:numFmt w:val="decimal"/>
      <w:lvlText w:val=""/>
      <w:lvlJc w:val="left"/>
    </w:lvl>
    <w:lvl w:ilvl="7" w:tplc="596C1968">
      <w:numFmt w:val="decimal"/>
      <w:lvlText w:val=""/>
      <w:lvlJc w:val="left"/>
    </w:lvl>
    <w:lvl w:ilvl="8" w:tplc="1F94DBD4">
      <w:numFmt w:val="decimal"/>
      <w:lvlText w:val=""/>
      <w:lvlJc w:val="left"/>
    </w:lvl>
  </w:abstractNum>
  <w:abstractNum w:abstractNumId="2" w15:restartNumberingAfterBreak="0">
    <w:nsid w:val="14232FE2"/>
    <w:multiLevelType w:val="multilevel"/>
    <w:tmpl w:val="81AC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369F0"/>
    <w:multiLevelType w:val="hybridMultilevel"/>
    <w:tmpl w:val="366057BC"/>
    <w:lvl w:ilvl="0" w:tplc="2876922C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D84315"/>
    <w:multiLevelType w:val="hybridMultilevel"/>
    <w:tmpl w:val="D020F300"/>
    <w:lvl w:ilvl="0" w:tplc="4D901AB4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B28148D"/>
    <w:multiLevelType w:val="hybridMultilevel"/>
    <w:tmpl w:val="AE662CE6"/>
    <w:lvl w:ilvl="0" w:tplc="B07C3ACA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40"/>
      </w:pPr>
    </w:lvl>
    <w:lvl w:ilvl="2" w:tplc="0409001B" w:tentative="1">
      <w:start w:val="1"/>
      <w:numFmt w:val="lowerRoman"/>
      <w:lvlText w:val="%3."/>
      <w:lvlJc w:val="righ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9" w:tentative="1">
      <w:start w:val="1"/>
      <w:numFmt w:val="lowerLetter"/>
      <w:lvlText w:val="%5)"/>
      <w:lvlJc w:val="left"/>
      <w:pPr>
        <w:ind w:left="2260" w:hanging="440"/>
      </w:pPr>
    </w:lvl>
    <w:lvl w:ilvl="5" w:tplc="0409001B" w:tentative="1">
      <w:start w:val="1"/>
      <w:numFmt w:val="lowerRoman"/>
      <w:lvlText w:val="%6."/>
      <w:lvlJc w:val="righ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9" w:tentative="1">
      <w:start w:val="1"/>
      <w:numFmt w:val="lowerLetter"/>
      <w:lvlText w:val="%8)"/>
      <w:lvlJc w:val="left"/>
      <w:pPr>
        <w:ind w:left="3580" w:hanging="440"/>
      </w:pPr>
    </w:lvl>
    <w:lvl w:ilvl="8" w:tplc="0409001B" w:tentative="1">
      <w:start w:val="1"/>
      <w:numFmt w:val="lowerRoman"/>
      <w:lvlText w:val="%9."/>
      <w:lvlJc w:val="right"/>
      <w:pPr>
        <w:ind w:left="4020" w:hanging="440"/>
      </w:pPr>
    </w:lvl>
  </w:abstractNum>
  <w:abstractNum w:abstractNumId="6" w15:restartNumberingAfterBreak="0">
    <w:nsid w:val="57AC1C00"/>
    <w:multiLevelType w:val="hybridMultilevel"/>
    <w:tmpl w:val="AE348D2C"/>
    <w:lvl w:ilvl="0" w:tplc="452E5CA6">
      <w:start w:val="1"/>
      <w:numFmt w:val="decimal"/>
      <w:lvlText w:val="☐"/>
      <w:lvlJc w:val="left"/>
      <w:pPr>
        <w:ind w:left="288" w:hanging="288"/>
      </w:pPr>
    </w:lvl>
    <w:lvl w:ilvl="1" w:tplc="E66449E4">
      <w:start w:val="1"/>
      <w:numFmt w:val="decimal"/>
      <w:lvlText w:val="☐"/>
      <w:lvlJc w:val="left"/>
      <w:pPr>
        <w:ind w:left="720" w:hanging="288"/>
      </w:pPr>
    </w:lvl>
    <w:lvl w:ilvl="2" w:tplc="314ED27A">
      <w:start w:val="1"/>
      <w:numFmt w:val="decimal"/>
      <w:lvlText w:val="☐"/>
      <w:lvlJc w:val="left"/>
      <w:pPr>
        <w:ind w:left="1152" w:hanging="288"/>
      </w:pPr>
    </w:lvl>
    <w:lvl w:ilvl="3" w:tplc="160AE2B6">
      <w:numFmt w:val="decimal"/>
      <w:lvlText w:val=""/>
      <w:lvlJc w:val="left"/>
    </w:lvl>
    <w:lvl w:ilvl="4" w:tplc="E632A45E">
      <w:numFmt w:val="decimal"/>
      <w:lvlText w:val=""/>
      <w:lvlJc w:val="left"/>
    </w:lvl>
    <w:lvl w:ilvl="5" w:tplc="4B0EABE6">
      <w:numFmt w:val="decimal"/>
      <w:lvlText w:val=""/>
      <w:lvlJc w:val="left"/>
    </w:lvl>
    <w:lvl w:ilvl="6" w:tplc="0ED200F0">
      <w:numFmt w:val="decimal"/>
      <w:lvlText w:val=""/>
      <w:lvlJc w:val="left"/>
    </w:lvl>
    <w:lvl w:ilvl="7" w:tplc="5736154C">
      <w:numFmt w:val="decimal"/>
      <w:lvlText w:val=""/>
      <w:lvlJc w:val="left"/>
    </w:lvl>
    <w:lvl w:ilvl="8" w:tplc="5ADE556A">
      <w:numFmt w:val="decimal"/>
      <w:lvlText w:val=""/>
      <w:lvlJc w:val="left"/>
    </w:lvl>
  </w:abstractNum>
  <w:abstractNum w:abstractNumId="7" w15:restartNumberingAfterBreak="0">
    <w:nsid w:val="642C3101"/>
    <w:multiLevelType w:val="hybridMultilevel"/>
    <w:tmpl w:val="BE94B43C"/>
    <w:lvl w:ilvl="0" w:tplc="60ECAD44">
      <w:start w:val="3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92458C3"/>
    <w:multiLevelType w:val="hybridMultilevel"/>
    <w:tmpl w:val="114CFA58"/>
    <w:lvl w:ilvl="0" w:tplc="CD4A0B42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5F92F09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51B6313E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7B5845AC">
      <w:numFmt w:val="decimal"/>
      <w:lvlText w:val=""/>
      <w:lvlJc w:val="left"/>
    </w:lvl>
    <w:lvl w:ilvl="4" w:tplc="3D240766">
      <w:numFmt w:val="decimal"/>
      <w:lvlText w:val=""/>
      <w:lvlJc w:val="left"/>
    </w:lvl>
    <w:lvl w:ilvl="5" w:tplc="24683118">
      <w:numFmt w:val="decimal"/>
      <w:lvlText w:val=""/>
      <w:lvlJc w:val="left"/>
    </w:lvl>
    <w:lvl w:ilvl="6" w:tplc="C74AF140">
      <w:numFmt w:val="decimal"/>
      <w:lvlText w:val=""/>
      <w:lvlJc w:val="left"/>
    </w:lvl>
    <w:lvl w:ilvl="7" w:tplc="AA44A2FA">
      <w:numFmt w:val="decimal"/>
      <w:lvlText w:val=""/>
      <w:lvlJc w:val="left"/>
    </w:lvl>
    <w:lvl w:ilvl="8" w:tplc="E96A4658">
      <w:numFmt w:val="decimal"/>
      <w:lvlText w:val=""/>
      <w:lvlJc w:val="left"/>
    </w:lvl>
  </w:abstractNum>
  <w:abstractNum w:abstractNumId="9" w15:restartNumberingAfterBreak="0">
    <w:nsid w:val="7095459E"/>
    <w:multiLevelType w:val="hybridMultilevel"/>
    <w:tmpl w:val="62EC795A"/>
    <w:lvl w:ilvl="0" w:tplc="F11A1180">
      <w:start w:val="1"/>
      <w:numFmt w:val="bullet"/>
      <w:lvlText w:val="●"/>
      <w:lvlJc w:val="left"/>
      <w:pPr>
        <w:ind w:left="720" w:hanging="360"/>
      </w:pPr>
    </w:lvl>
    <w:lvl w:ilvl="1" w:tplc="A3D8097A">
      <w:start w:val="1"/>
      <w:numFmt w:val="bullet"/>
      <w:lvlText w:val="○"/>
      <w:lvlJc w:val="left"/>
      <w:pPr>
        <w:ind w:left="1440" w:hanging="360"/>
      </w:pPr>
    </w:lvl>
    <w:lvl w:ilvl="2" w:tplc="EB662ED4">
      <w:start w:val="1"/>
      <w:numFmt w:val="bullet"/>
      <w:lvlText w:val="■"/>
      <w:lvlJc w:val="left"/>
      <w:pPr>
        <w:ind w:left="2160" w:hanging="360"/>
      </w:pPr>
    </w:lvl>
    <w:lvl w:ilvl="3" w:tplc="07CEE5C0">
      <w:start w:val="1"/>
      <w:numFmt w:val="bullet"/>
      <w:lvlText w:val="●"/>
      <w:lvlJc w:val="left"/>
      <w:pPr>
        <w:ind w:left="2880" w:hanging="360"/>
      </w:pPr>
    </w:lvl>
    <w:lvl w:ilvl="4" w:tplc="981E5314">
      <w:start w:val="1"/>
      <w:numFmt w:val="bullet"/>
      <w:lvlText w:val="○"/>
      <w:lvlJc w:val="left"/>
      <w:pPr>
        <w:ind w:left="3600" w:hanging="360"/>
      </w:pPr>
    </w:lvl>
    <w:lvl w:ilvl="5" w:tplc="B4ACAEF4">
      <w:start w:val="1"/>
      <w:numFmt w:val="bullet"/>
      <w:lvlText w:val="■"/>
      <w:lvlJc w:val="left"/>
      <w:pPr>
        <w:ind w:left="4320" w:hanging="360"/>
      </w:pPr>
    </w:lvl>
    <w:lvl w:ilvl="6" w:tplc="3A1A68E2">
      <w:start w:val="1"/>
      <w:numFmt w:val="bullet"/>
      <w:lvlText w:val="●"/>
      <w:lvlJc w:val="left"/>
      <w:pPr>
        <w:ind w:left="5040" w:hanging="360"/>
      </w:pPr>
    </w:lvl>
    <w:lvl w:ilvl="7" w:tplc="23FE3BC8">
      <w:start w:val="1"/>
      <w:numFmt w:val="bullet"/>
      <w:lvlText w:val="●"/>
      <w:lvlJc w:val="left"/>
      <w:pPr>
        <w:ind w:left="5760" w:hanging="360"/>
      </w:pPr>
    </w:lvl>
    <w:lvl w:ilvl="8" w:tplc="BD70FFF8">
      <w:start w:val="1"/>
      <w:numFmt w:val="bullet"/>
      <w:lvlText w:val="●"/>
      <w:lvlJc w:val="left"/>
      <w:pPr>
        <w:ind w:left="6480" w:hanging="360"/>
      </w:pPr>
    </w:lvl>
  </w:abstractNum>
  <w:num w:numId="1" w16cid:durableId="1515539114">
    <w:abstractNumId w:val="9"/>
    <w:lvlOverride w:ilvl="0">
      <w:startOverride w:val="1"/>
    </w:lvlOverride>
  </w:num>
  <w:num w:numId="2" w16cid:durableId="1900165727">
    <w:abstractNumId w:val="3"/>
  </w:num>
  <w:num w:numId="3" w16cid:durableId="887112052">
    <w:abstractNumId w:val="2"/>
  </w:num>
  <w:num w:numId="4" w16cid:durableId="1340546647">
    <w:abstractNumId w:val="4"/>
  </w:num>
  <w:num w:numId="5" w16cid:durableId="198519729">
    <w:abstractNumId w:val="5"/>
  </w:num>
  <w:num w:numId="6" w16cid:durableId="1318875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FC"/>
    <w:rsid w:val="000117AA"/>
    <w:rsid w:val="0003378E"/>
    <w:rsid w:val="000F4DA0"/>
    <w:rsid w:val="001238DA"/>
    <w:rsid w:val="00172A38"/>
    <w:rsid w:val="00176042"/>
    <w:rsid w:val="001B2951"/>
    <w:rsid w:val="00307F73"/>
    <w:rsid w:val="00320170"/>
    <w:rsid w:val="0033350B"/>
    <w:rsid w:val="003A4E96"/>
    <w:rsid w:val="003C0E77"/>
    <w:rsid w:val="00457FB7"/>
    <w:rsid w:val="004B7A49"/>
    <w:rsid w:val="004F361A"/>
    <w:rsid w:val="005209D5"/>
    <w:rsid w:val="005410C7"/>
    <w:rsid w:val="00573DB5"/>
    <w:rsid w:val="005916F7"/>
    <w:rsid w:val="00724C04"/>
    <w:rsid w:val="00734352"/>
    <w:rsid w:val="007D0AFC"/>
    <w:rsid w:val="00800F3F"/>
    <w:rsid w:val="00803A0B"/>
    <w:rsid w:val="00843F2A"/>
    <w:rsid w:val="00905037"/>
    <w:rsid w:val="0099075F"/>
    <w:rsid w:val="009F478C"/>
    <w:rsid w:val="00A522A5"/>
    <w:rsid w:val="00AF0D78"/>
    <w:rsid w:val="00B13801"/>
    <w:rsid w:val="00BA0303"/>
    <w:rsid w:val="00BA15F3"/>
    <w:rsid w:val="00BD11E1"/>
    <w:rsid w:val="00CB557F"/>
    <w:rsid w:val="00CD0CDA"/>
    <w:rsid w:val="00CF57F1"/>
    <w:rsid w:val="00D07ED0"/>
    <w:rsid w:val="00D23850"/>
    <w:rsid w:val="00E17A26"/>
    <w:rsid w:val="00E910A2"/>
    <w:rsid w:val="00EE267E"/>
    <w:rsid w:val="00F12F92"/>
    <w:rsid w:val="00F77677"/>
    <w:rsid w:val="00F82558"/>
    <w:rsid w:val="00F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92D9C"/>
  <w15:docId w15:val="{8FDCEA4D-B992-4316-A52F-637FBA6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semiHidden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a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D07E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07ED0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07E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07ED0"/>
    <w:rPr>
      <w:sz w:val="18"/>
      <w:szCs w:val="18"/>
    </w:rPr>
  </w:style>
  <w:style w:type="table" w:customStyle="1" w:styleId="OPExcelTableContent-3481">
    <w:name w:val="OP_ExcelTableContent-3481"/>
    <w:basedOn w:val="a1"/>
    <w:rsid w:val="00B13801"/>
    <w:rPr>
      <w:color w:val="000000"/>
    </w:rPr>
    <w:tblPr>
      <w:tblBorders>
        <w:top w:val="single" w:sz="4" w:space="0" w:color="FFC94A"/>
        <w:left w:val="single" w:sz="4" w:space="0" w:color="FFC94A"/>
        <w:bottom w:val="single" w:sz="4" w:space="0" w:color="FFC94A"/>
        <w:right w:val="single" w:sz="4" w:space="0" w:color="FFC94A"/>
        <w:insideH w:val="single" w:sz="4" w:space="0" w:color="FFC94A"/>
        <w:insideV w:val="single" w:sz="4" w:space="0" w:color="FFC94A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FFC94A"/>
          <w:left w:val="single" w:sz="4" w:space="0" w:color="FFC94A"/>
          <w:bottom w:val="single" w:sz="4" w:space="0" w:color="FFC94A"/>
          <w:right w:val="single" w:sz="4" w:space="0" w:color="FFC94A"/>
          <w:insideH w:val="single" w:sz="4" w:space="0" w:color="FFC94A"/>
          <w:insideV w:val="single" w:sz="4" w:space="0" w:color="FFC94A"/>
        </w:tcBorders>
        <w:shd w:val="clear" w:color="auto" w:fill="FFC94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1166</Words>
  <Characters>1248</Characters>
  <Application>Microsoft Office Word</Application>
  <DocSecurity>0</DocSecurity>
  <Lines>96</Lines>
  <Paragraphs>54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竣仁 白</cp:lastModifiedBy>
  <cp:revision>16</cp:revision>
  <dcterms:created xsi:type="dcterms:W3CDTF">2025-11-18T11:49:00Z</dcterms:created>
  <dcterms:modified xsi:type="dcterms:W3CDTF">2025-12-31T08:45:00Z</dcterms:modified>
</cp:coreProperties>
</file>