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技艺融合的乡研聚落从唐彩到光伏皮层1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