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绿筑青春 宿造新生——高校宿舍楼绿色低碳综合改造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38518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报告日期：2026年3月26日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项目名称：绿筑青春 宿造新生——高校宿舍楼绿色低碳综合改造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应用比例40%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全寿命期单位建筑面积碳排放强为20kgCO2/（m2·a）减碳率30%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1078.0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