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绿筑青春 宿造新生——高校宿舍楼绿色低碳综合改造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严寒和寒冷地区住宅建筑外窗传热系数降低比例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卧室分户墙和卧室分户楼板两侧房间之间的空气声隔声性能（计权标准化声压级差与交通噪声频谱修正量之和DnT,w+Ctr)≥50dB，卧室分户楼板的撞击声隔声性能（计权标准化撞击声压级L'nT,w）≤55dB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总得分：Q=（Q0+Q1+Q2+Q3+Q4+Q5+QA）/10=105.8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38518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14331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4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