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69D4D">
      <w:pPr>
        <w:spacing w:line="240" w:lineRule="auto"/>
        <w:rPr>
          <w:rFonts w:eastAsia="黑体"/>
          <w:b/>
          <w:bCs/>
          <w:sz w:val="72"/>
          <w:szCs w:val="72"/>
        </w:rPr>
      </w:pP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3138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44AD78F3">
            <w:pPr>
              <w:snapToGrid w:val="0"/>
              <w:spacing w:line="240" w:lineRule="auto"/>
              <w:jc w:val="center"/>
              <w:rPr>
                <w:rFonts w:hint="eastAsia" w:ascii="微软雅黑" w:hAnsi="微软雅黑"/>
                <w:b/>
                <w:spacing w:val="54"/>
                <w:sz w:val="72"/>
                <w:szCs w:val="52"/>
              </w:rPr>
            </w:pPr>
            <w:bookmarkStart w:id="0" w:name="_Hlk172625491"/>
            <w:r>
              <w:rPr>
                <w:rFonts w:hint="eastAsia" w:ascii="微软雅黑" w:hAnsi="微软雅黑"/>
                <w:b/>
                <w:spacing w:val="90"/>
                <w:kern w:val="0"/>
                <w:sz w:val="72"/>
                <w:szCs w:val="52"/>
                <w:fitText w:val="7920" w:id="-938841855"/>
              </w:rPr>
              <w:t>室外夜景照明光污</w:t>
            </w:r>
            <w:r>
              <w:rPr>
                <w:rFonts w:hint="eastAsia" w:ascii="微软雅黑" w:hAnsi="微软雅黑"/>
                <w:b/>
                <w:spacing w:val="0"/>
                <w:kern w:val="0"/>
                <w:sz w:val="72"/>
                <w:szCs w:val="52"/>
                <w:fitText w:val="7920" w:id="-938841855"/>
              </w:rPr>
              <w:t>染</w:t>
            </w:r>
          </w:p>
          <w:p w14:paraId="4E05E448">
            <w:pPr>
              <w:snapToGrid w:val="0"/>
              <w:spacing w:line="240" w:lineRule="auto"/>
              <w:jc w:val="center"/>
              <w:rPr>
                <w:rFonts w:hint="eastAsia" w:ascii="微软雅黑" w:hAnsi="微软雅黑"/>
                <w:b/>
                <w:sz w:val="72"/>
                <w:szCs w:val="52"/>
              </w:rPr>
            </w:pPr>
            <w:r>
              <w:rPr>
                <w:rFonts w:hint="eastAsia" w:ascii="微软雅黑" w:hAnsi="微软雅黑"/>
                <w:b/>
                <w:spacing w:val="60"/>
                <w:kern w:val="0"/>
                <w:sz w:val="72"/>
                <w:szCs w:val="52"/>
                <w:fitText w:val="3240" w:id="-938841854"/>
              </w:rPr>
              <w:t>分析报</w:t>
            </w:r>
            <w:r>
              <w:rPr>
                <w:rFonts w:hint="eastAsia" w:ascii="微软雅黑" w:hAnsi="微软雅黑"/>
                <w:b/>
                <w:spacing w:val="0"/>
                <w:kern w:val="0"/>
                <w:sz w:val="72"/>
                <w:szCs w:val="52"/>
                <w:fitText w:val="3240" w:id="-938841854"/>
              </w:rPr>
              <w:t>告</w:t>
            </w:r>
          </w:p>
        </w:tc>
      </w:tr>
      <w:tr w14:paraId="2C7A1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04D9C83">
            <w:pPr>
              <w:snapToGrid w:val="0"/>
              <w:spacing w:before="312" w:beforeLines="100" w:line="240" w:lineRule="auto"/>
              <w:jc w:val="center"/>
              <w:rPr>
                <w:rFonts w:hint="eastAsia" w:ascii="微软雅黑" w:hAnsi="微软雅黑"/>
                <w:b/>
                <w:sz w:val="36"/>
                <w:szCs w:val="36"/>
              </w:rPr>
            </w:pPr>
            <w:bookmarkStart w:id="1" w:name="工程名称"/>
            <w:r>
              <w:rPr>
                <w:rFonts w:hint="eastAsia" w:ascii="微软雅黑" w:hAnsi="微软雅黑"/>
                <w:b/>
                <w:sz w:val="36"/>
                <w:szCs w:val="36"/>
              </w:rPr>
              <w:t>工程名称</w:t>
            </w:r>
            <w:bookmarkEnd w:id="1"/>
          </w:p>
        </w:tc>
      </w:tr>
      <w:tr w14:paraId="38A9B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3E8C869">
            <w:pPr>
              <w:snapToGrid w:val="0"/>
              <w:spacing w:line="240" w:lineRule="auto"/>
              <w:jc w:val="center"/>
              <w:rPr>
                <w:rFonts w:hint="eastAsia" w:ascii="微软雅黑" w:hAnsi="微软雅黑"/>
                <w:b/>
                <w:sz w:val="32"/>
                <w:szCs w:val="52"/>
              </w:rPr>
            </w:pPr>
            <w:r>
              <w:rPr>
                <w:rFonts w:hint="eastAsia" w:ascii="微软雅黑" w:hAnsi="微软雅黑"/>
                <w:b/>
                <w:sz w:val="32"/>
                <w:szCs w:val="52"/>
              </w:rPr>
              <w:t>设计编号：</w:t>
            </w:r>
            <w:bookmarkStart w:id="2" w:name="设计编号"/>
            <w:r>
              <w:rPr>
                <w:rFonts w:hint="eastAsia" w:ascii="微软雅黑" w:hAnsi="微软雅黑"/>
                <w:b/>
                <w:sz w:val="32"/>
                <w:szCs w:val="52"/>
              </w:rPr>
              <w:t>编号</w:t>
            </w:r>
            <w:bookmarkEnd w:id="2"/>
          </w:p>
          <w:p w14:paraId="745D4194">
            <w:pPr>
              <w:snapToGrid w:val="0"/>
              <w:spacing w:line="240" w:lineRule="auto"/>
              <w:jc w:val="center"/>
              <w:rPr>
                <w:rFonts w:hint="eastAsia" w:ascii="微软雅黑" w:hAnsi="微软雅黑"/>
                <w:b/>
                <w:sz w:val="32"/>
                <w:szCs w:val="52"/>
              </w:rPr>
            </w:pPr>
            <w:bookmarkStart w:id="3" w:name="二维码"/>
            <w:bookmarkEnd w:id="3"/>
          </w:p>
        </w:tc>
      </w:tr>
      <w:tr w14:paraId="79751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2051EA2">
            <w:pPr>
              <w:snapToGrid w:val="0"/>
              <w:spacing w:line="240" w:lineRule="auto"/>
              <w:jc w:val="center"/>
              <w:rPr>
                <w:rFonts w:hint="eastAsia" w:ascii="微软雅黑" w:hAnsi="微软雅黑"/>
                <w:sz w:val="18"/>
              </w:rPr>
            </w:pPr>
          </w:p>
        </w:tc>
      </w:tr>
    </w:tbl>
    <w:p w14:paraId="1C9982EE">
      <w:pPr>
        <w:snapToGrid w:val="0"/>
        <w:spacing w:line="240" w:lineRule="auto"/>
        <w:jc w:val="center"/>
        <w:rPr>
          <w:rFonts w:hint="eastAsia" w:ascii="微软雅黑" w:hAnsi="微软雅黑"/>
          <w:sz w:val="18"/>
        </w:rPr>
      </w:pPr>
    </w:p>
    <w:p w14:paraId="4840934A">
      <w:pPr>
        <w:snapToGrid w:val="0"/>
        <w:spacing w:line="240" w:lineRule="auto"/>
        <w:jc w:val="center"/>
        <w:rPr>
          <w:rFonts w:hint="eastAsia" w:ascii="微软雅黑" w:hAnsi="微软雅黑"/>
          <w:sz w:val="18"/>
        </w:rPr>
      </w:pPr>
    </w:p>
    <w:bookmarkEnd w:id="0"/>
    <w:p w14:paraId="705F6BE0">
      <w:pPr>
        <w:snapToGrid w:val="0"/>
        <w:spacing w:line="240" w:lineRule="auto"/>
        <w:jc w:val="center"/>
        <w:rPr>
          <w:rFonts w:hint="eastAsia" w:ascii="微软雅黑" w:hAnsi="微软雅黑"/>
          <w:sz w:val="18"/>
        </w:rPr>
      </w:pP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4B5F1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7BA6318">
            <w:pPr>
              <w:snapToGrid w:val="0"/>
              <w:spacing w:line="600" w:lineRule="exact"/>
              <w:jc w:val="distribute"/>
              <w:rPr>
                <w:rFonts w:hint="eastAsia" w:ascii="微软雅黑" w:hAnsi="微软雅黑"/>
                <w:sz w:val="24"/>
                <w:szCs w:val="24"/>
              </w:rPr>
            </w:pPr>
            <w:r>
              <w:rPr>
                <w:rFonts w:hint="eastAsia" w:ascii="微软雅黑" w:hAnsi="微软雅黑"/>
                <w:sz w:val="24"/>
                <w:szCs w:val="24"/>
              </w:rPr>
              <w:t>工程地点</w:t>
            </w:r>
          </w:p>
        </w:tc>
        <w:tc>
          <w:tcPr>
            <w:tcW w:w="456" w:type="dxa"/>
          </w:tcPr>
          <w:p w14:paraId="647846CA">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nil"/>
              <w:left w:val="nil"/>
              <w:bottom w:val="single" w:color="7E7E7E" w:themeColor="text1" w:themeTint="80" w:sz="4" w:space="0"/>
              <w:right w:val="nil"/>
            </w:tcBorders>
          </w:tcPr>
          <w:p w14:paraId="7540A0A0">
            <w:pPr>
              <w:snapToGrid w:val="0"/>
              <w:spacing w:line="600" w:lineRule="exact"/>
              <w:jc w:val="center"/>
              <w:rPr>
                <w:rFonts w:hint="eastAsia" w:ascii="微软雅黑" w:hAnsi="微软雅黑"/>
                <w:sz w:val="24"/>
                <w:szCs w:val="24"/>
              </w:rPr>
            </w:pPr>
            <w:bookmarkStart w:id="4" w:name="项目地点"/>
            <w:bookmarkStart w:id="5" w:name="项目地点1"/>
            <w:r>
              <w:rPr>
                <w:rFonts w:hint="eastAsia" w:ascii="微软雅黑" w:hAnsi="微软雅黑"/>
                <w:sz w:val="24"/>
                <w:szCs w:val="24"/>
              </w:rPr>
              <w:t>工程地点</w:t>
            </w:r>
            <w:bookmarkEnd w:id="4"/>
            <w:bookmarkEnd w:id="5"/>
          </w:p>
        </w:tc>
      </w:tr>
      <w:tr w14:paraId="0A548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98AA563">
            <w:pPr>
              <w:snapToGrid w:val="0"/>
              <w:spacing w:line="600" w:lineRule="exact"/>
              <w:jc w:val="distribute"/>
              <w:rPr>
                <w:rFonts w:hint="eastAsia" w:ascii="微软雅黑" w:hAnsi="微软雅黑"/>
                <w:sz w:val="24"/>
                <w:szCs w:val="24"/>
              </w:rPr>
            </w:pPr>
            <w:r>
              <w:rPr>
                <w:rFonts w:hint="eastAsia" w:ascii="微软雅黑" w:hAnsi="微软雅黑"/>
                <w:sz w:val="24"/>
                <w:szCs w:val="24"/>
              </w:rPr>
              <w:t>建设单位</w:t>
            </w:r>
          </w:p>
        </w:tc>
        <w:tc>
          <w:tcPr>
            <w:tcW w:w="456" w:type="dxa"/>
          </w:tcPr>
          <w:p w14:paraId="76F78A19">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nil"/>
              <w:left w:val="nil"/>
              <w:bottom w:val="single" w:color="7E7E7E" w:themeColor="text1" w:themeTint="80" w:sz="4" w:space="0"/>
              <w:right w:val="nil"/>
            </w:tcBorders>
          </w:tcPr>
          <w:p w14:paraId="1179D7B2">
            <w:pPr>
              <w:snapToGrid w:val="0"/>
              <w:spacing w:line="600" w:lineRule="exact"/>
              <w:jc w:val="center"/>
              <w:rPr>
                <w:rFonts w:hint="eastAsia" w:ascii="微软雅黑" w:hAnsi="微软雅黑"/>
                <w:sz w:val="24"/>
                <w:szCs w:val="24"/>
              </w:rPr>
            </w:pPr>
            <w:bookmarkStart w:id="6" w:name="建设单位"/>
            <w:r>
              <w:rPr>
                <w:rFonts w:hint="eastAsia" w:ascii="微软雅黑" w:hAnsi="微软雅黑"/>
                <w:sz w:val="24"/>
                <w:szCs w:val="24"/>
              </w:rPr>
              <w:t>建设单位</w:t>
            </w:r>
            <w:bookmarkEnd w:id="6"/>
          </w:p>
        </w:tc>
      </w:tr>
      <w:tr w14:paraId="08C08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91E420E">
            <w:pPr>
              <w:snapToGrid w:val="0"/>
              <w:spacing w:line="600" w:lineRule="exact"/>
              <w:jc w:val="distribute"/>
              <w:rPr>
                <w:rFonts w:hint="eastAsia" w:ascii="微软雅黑" w:hAnsi="微软雅黑"/>
                <w:sz w:val="24"/>
                <w:szCs w:val="24"/>
              </w:rPr>
            </w:pPr>
            <w:r>
              <w:rPr>
                <w:rFonts w:hint="eastAsia" w:ascii="微软雅黑" w:hAnsi="微软雅黑"/>
                <w:sz w:val="24"/>
                <w:szCs w:val="24"/>
              </w:rPr>
              <w:t>设计单位</w:t>
            </w:r>
          </w:p>
        </w:tc>
        <w:tc>
          <w:tcPr>
            <w:tcW w:w="456" w:type="dxa"/>
          </w:tcPr>
          <w:p w14:paraId="48D8F9F6">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6FA3B44">
            <w:pPr>
              <w:snapToGrid w:val="0"/>
              <w:spacing w:line="600" w:lineRule="exact"/>
              <w:jc w:val="center"/>
              <w:rPr>
                <w:rFonts w:hint="eastAsia" w:ascii="微软雅黑" w:hAnsi="微软雅黑"/>
                <w:sz w:val="24"/>
                <w:szCs w:val="24"/>
              </w:rPr>
            </w:pPr>
            <w:bookmarkStart w:id="7" w:name="设计单位"/>
            <w:r>
              <w:rPr>
                <w:rFonts w:hint="eastAsia" w:ascii="微软雅黑" w:hAnsi="微软雅黑"/>
                <w:sz w:val="24"/>
                <w:szCs w:val="24"/>
              </w:rPr>
              <w:t>设计单位</w:t>
            </w:r>
            <w:bookmarkEnd w:id="7"/>
          </w:p>
        </w:tc>
      </w:tr>
      <w:tr w14:paraId="24BE5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B88782">
            <w:pPr>
              <w:snapToGrid w:val="0"/>
              <w:spacing w:line="600" w:lineRule="exact"/>
              <w:jc w:val="distribute"/>
              <w:rPr>
                <w:rFonts w:hint="eastAsia" w:ascii="微软雅黑" w:hAnsi="微软雅黑"/>
                <w:sz w:val="24"/>
                <w:szCs w:val="24"/>
              </w:rPr>
            </w:pPr>
            <w:r>
              <w:rPr>
                <w:rFonts w:hint="eastAsia" w:ascii="微软雅黑" w:hAnsi="微软雅黑"/>
                <w:sz w:val="24"/>
                <w:szCs w:val="24"/>
              </w:rPr>
              <w:t>设计人</w:t>
            </w:r>
          </w:p>
        </w:tc>
        <w:tc>
          <w:tcPr>
            <w:tcW w:w="456" w:type="dxa"/>
          </w:tcPr>
          <w:p w14:paraId="2E337965">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C4D224">
            <w:pPr>
              <w:snapToGrid w:val="0"/>
              <w:spacing w:line="600" w:lineRule="exact"/>
              <w:jc w:val="center"/>
              <w:rPr>
                <w:rFonts w:hint="eastAsia" w:ascii="微软雅黑" w:hAnsi="微软雅黑"/>
                <w:sz w:val="24"/>
                <w:szCs w:val="24"/>
              </w:rPr>
            </w:pPr>
          </w:p>
        </w:tc>
      </w:tr>
      <w:tr w14:paraId="631FE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5004878">
            <w:pPr>
              <w:snapToGrid w:val="0"/>
              <w:spacing w:line="600" w:lineRule="exact"/>
              <w:jc w:val="distribute"/>
              <w:rPr>
                <w:rFonts w:hint="eastAsia" w:ascii="微软雅黑" w:hAnsi="微软雅黑"/>
                <w:sz w:val="24"/>
                <w:szCs w:val="24"/>
              </w:rPr>
            </w:pPr>
            <w:r>
              <w:rPr>
                <w:rFonts w:hint="eastAsia" w:ascii="微软雅黑" w:hAnsi="微软雅黑"/>
                <w:sz w:val="24"/>
                <w:szCs w:val="24"/>
              </w:rPr>
              <w:t>校对人</w:t>
            </w:r>
          </w:p>
        </w:tc>
        <w:tc>
          <w:tcPr>
            <w:tcW w:w="456" w:type="dxa"/>
          </w:tcPr>
          <w:p w14:paraId="66E8EE4C">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10AB720">
            <w:pPr>
              <w:snapToGrid w:val="0"/>
              <w:spacing w:line="600" w:lineRule="exact"/>
              <w:jc w:val="center"/>
              <w:rPr>
                <w:rFonts w:hint="eastAsia" w:ascii="微软雅黑" w:hAnsi="微软雅黑"/>
                <w:sz w:val="24"/>
                <w:szCs w:val="24"/>
              </w:rPr>
            </w:pPr>
          </w:p>
        </w:tc>
      </w:tr>
      <w:tr w14:paraId="06C9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AFE9DCF">
            <w:pPr>
              <w:snapToGrid w:val="0"/>
              <w:spacing w:line="600" w:lineRule="exact"/>
              <w:jc w:val="distribute"/>
              <w:rPr>
                <w:rFonts w:hint="eastAsia" w:ascii="微软雅黑" w:hAnsi="微软雅黑"/>
                <w:sz w:val="24"/>
                <w:szCs w:val="24"/>
              </w:rPr>
            </w:pPr>
            <w:r>
              <w:rPr>
                <w:rFonts w:hint="eastAsia" w:ascii="微软雅黑" w:hAnsi="微软雅黑"/>
                <w:sz w:val="24"/>
                <w:szCs w:val="24"/>
              </w:rPr>
              <w:t>审定人</w:t>
            </w:r>
          </w:p>
        </w:tc>
        <w:tc>
          <w:tcPr>
            <w:tcW w:w="456" w:type="dxa"/>
          </w:tcPr>
          <w:p w14:paraId="74F8EEC7">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CED4DAB">
            <w:pPr>
              <w:snapToGrid w:val="0"/>
              <w:spacing w:line="600" w:lineRule="exact"/>
              <w:jc w:val="center"/>
              <w:rPr>
                <w:rFonts w:hint="eastAsia" w:ascii="微软雅黑" w:hAnsi="微软雅黑"/>
                <w:sz w:val="24"/>
                <w:szCs w:val="24"/>
              </w:rPr>
            </w:pPr>
          </w:p>
        </w:tc>
      </w:tr>
      <w:tr w14:paraId="1F2A3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563C60B">
            <w:pPr>
              <w:snapToGrid w:val="0"/>
              <w:spacing w:line="600" w:lineRule="exact"/>
              <w:jc w:val="distribute"/>
              <w:rPr>
                <w:rFonts w:hint="eastAsia" w:ascii="微软雅黑" w:hAnsi="微软雅黑"/>
                <w:sz w:val="24"/>
                <w:szCs w:val="24"/>
              </w:rPr>
            </w:pPr>
            <w:r>
              <w:rPr>
                <w:rFonts w:hint="eastAsia" w:ascii="微软雅黑" w:hAnsi="微软雅黑"/>
                <w:sz w:val="24"/>
                <w:szCs w:val="24"/>
              </w:rPr>
              <w:t>报告日期</w:t>
            </w:r>
          </w:p>
        </w:tc>
        <w:tc>
          <w:tcPr>
            <w:tcW w:w="456" w:type="dxa"/>
          </w:tcPr>
          <w:p w14:paraId="0FB17C13">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6F1A3EB">
            <w:pPr>
              <w:snapToGrid w:val="0"/>
              <w:spacing w:line="600" w:lineRule="exact"/>
              <w:jc w:val="center"/>
              <w:rPr>
                <w:rFonts w:hint="eastAsia" w:ascii="微软雅黑" w:hAnsi="微软雅黑"/>
                <w:sz w:val="24"/>
                <w:szCs w:val="24"/>
              </w:rPr>
            </w:pPr>
            <w:bookmarkStart w:id="8" w:name="计算日期"/>
            <w:r>
              <w:rPr>
                <w:rFonts w:hint="eastAsia" w:ascii="微软雅黑" w:hAnsi="微软雅黑"/>
                <w:sz w:val="24"/>
                <w:szCs w:val="24"/>
              </w:rPr>
              <w:t>报告日期</w:t>
            </w:r>
            <w:bookmarkEnd w:id="8"/>
          </w:p>
        </w:tc>
      </w:tr>
    </w:tbl>
    <w:p w14:paraId="32BF8132">
      <w:pPr>
        <w:snapToGrid w:val="0"/>
        <w:spacing w:line="240" w:lineRule="auto"/>
        <w:jc w:val="center"/>
        <w:rPr>
          <w:rFonts w:asciiTheme="minorHAnsi" w:hAnsiTheme="minorHAnsi" w:eastAsiaTheme="minorEastAsia" w:cstheme="minorBidi"/>
          <w:kern w:val="2"/>
          <w:sz w:val="18"/>
          <w:szCs w:val="22"/>
        </w:rPr>
      </w:pPr>
    </w:p>
    <w:p w14:paraId="77CC3CB8">
      <w:pPr>
        <w:snapToGrid w:val="0"/>
        <w:spacing w:line="240" w:lineRule="auto"/>
        <w:jc w:val="center"/>
        <w:rPr>
          <w:rFonts w:hint="eastAsia" w:ascii="微软雅黑" w:hAnsi="微软雅黑"/>
          <w:sz w:val="18"/>
        </w:rPr>
      </w:pPr>
    </w:p>
    <w:p w14:paraId="71424BB6">
      <w:pPr>
        <w:snapToGrid w:val="0"/>
        <w:spacing w:line="240" w:lineRule="auto"/>
        <w:jc w:val="center"/>
        <w:rPr>
          <w:rFonts w:hint="eastAsia" w:ascii="微软雅黑" w:hAnsi="微软雅黑"/>
          <w:sz w:val="18"/>
        </w:rPr>
      </w:pPr>
    </w:p>
    <w:p w14:paraId="175F827A">
      <w:pPr>
        <w:snapToGrid w:val="0"/>
        <w:spacing w:line="240" w:lineRule="auto"/>
        <w:jc w:val="center"/>
        <w:rPr>
          <w:rFonts w:hint="eastAsia" w:ascii="微软雅黑" w:hAnsi="微软雅黑"/>
          <w:sz w:val="18"/>
        </w:rPr>
      </w:pPr>
    </w:p>
    <w:tbl>
      <w:tblPr>
        <w:tblStyle w:val="25"/>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2EA07CD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61D3173">
            <w:pPr>
              <w:snapToGrid w:val="0"/>
              <w:spacing w:before="156" w:beforeLines="50" w:line="180" w:lineRule="exact"/>
              <w:jc w:val="distribute"/>
              <w:rPr>
                <w:rFonts w:hint="eastAsia" w:ascii="微软雅黑" w:hAnsi="微软雅黑"/>
                <w:sz w:val="18"/>
                <w:szCs w:val="18"/>
              </w:rPr>
            </w:pPr>
            <w:r>
              <w:rPr>
                <w:rFonts w:hint="eastAsia" w:ascii="微软雅黑" w:hAnsi="微软雅黑"/>
                <w:sz w:val="18"/>
                <w:szCs w:val="18"/>
              </w:rPr>
              <w:t>采用软件</w:t>
            </w:r>
          </w:p>
        </w:tc>
        <w:tc>
          <w:tcPr>
            <w:tcW w:w="3108" w:type="dxa"/>
            <w:tcBorders>
              <w:top w:val="single" w:color="auto" w:sz="2" w:space="0"/>
              <w:left w:val="nil"/>
              <w:bottom w:val="nil"/>
              <w:right w:val="nil"/>
            </w:tcBorders>
            <w:vAlign w:val="bottom"/>
          </w:tcPr>
          <w:p w14:paraId="68FEEC48">
            <w:pPr>
              <w:snapToGrid w:val="0"/>
              <w:spacing w:line="180" w:lineRule="exact"/>
              <w:ind w:right="-105" w:rightChars="-50"/>
              <w:rPr>
                <w:rFonts w:hint="eastAsia" w:ascii="微软雅黑" w:hAnsi="微软雅黑"/>
                <w:sz w:val="18"/>
                <w:szCs w:val="18"/>
              </w:rPr>
            </w:pPr>
            <w:r>
              <w:rPr>
                <w:rFonts w:hint="eastAsia" w:ascii="微软雅黑" w:hAnsi="微软雅黑"/>
                <w:sz w:val="18"/>
                <w:szCs w:val="18"/>
              </w:rPr>
              <w:t>：</w:t>
            </w:r>
            <w:bookmarkStart w:id="9" w:name="采用软件"/>
            <w:bookmarkStart w:id="10" w:name="软件全称"/>
            <w:r>
              <w:rPr>
                <w:rFonts w:hint="eastAsia" w:ascii="微软雅黑" w:hAnsi="微软雅黑"/>
                <w:sz w:val="18"/>
                <w:szCs w:val="18"/>
              </w:rPr>
              <w:t>软件</w:t>
            </w:r>
            <w:bookmarkEnd w:id="9"/>
            <w:bookmarkEnd w:id="10"/>
          </w:p>
        </w:tc>
        <w:tc>
          <w:tcPr>
            <w:tcW w:w="3957" w:type="dxa"/>
            <w:vMerge w:val="restart"/>
            <w:tcBorders>
              <w:top w:val="single" w:color="auto" w:sz="2" w:space="0"/>
              <w:left w:val="nil"/>
              <w:bottom w:val="nil"/>
              <w:right w:val="nil"/>
            </w:tcBorders>
            <w:vAlign w:val="bottom"/>
          </w:tcPr>
          <w:p w14:paraId="16BB6864">
            <w:pPr>
              <w:snapToGrid w:val="0"/>
              <w:spacing w:line="240" w:lineRule="auto"/>
              <w:ind w:left="-246" w:leftChars="-117"/>
              <w:jc w:val="right"/>
              <w:rPr>
                <w:rFonts w:hint="eastAsia" w:ascii="微软雅黑" w:hAnsi="微软雅黑"/>
                <w:color w:val="767171" w:themeColor="background2" w:themeShade="80"/>
                <w:sz w:val="18"/>
              </w:rPr>
            </w:pPr>
            <w:r>
              <w:rPr>
                <w:rFonts w:ascii="微软雅黑" w:hAnsi="微软雅黑"/>
                <w:sz w:val="18"/>
              </w:rP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E625D9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DE182D7">
            <w:pPr>
              <w:snapToGrid w:val="0"/>
              <w:spacing w:line="180" w:lineRule="exact"/>
              <w:jc w:val="distribute"/>
              <w:rPr>
                <w:rFonts w:hint="eastAsia" w:ascii="微软雅黑" w:hAnsi="微软雅黑"/>
                <w:sz w:val="18"/>
                <w:szCs w:val="18"/>
              </w:rPr>
            </w:pPr>
            <w:r>
              <w:rPr>
                <w:rFonts w:hint="eastAsia" w:ascii="微软雅黑" w:hAnsi="微软雅黑"/>
                <w:sz w:val="18"/>
                <w:szCs w:val="18"/>
              </w:rPr>
              <w:t>软件版本</w:t>
            </w:r>
          </w:p>
        </w:tc>
        <w:tc>
          <w:tcPr>
            <w:tcW w:w="3108" w:type="dxa"/>
            <w:tcBorders>
              <w:top w:val="nil"/>
              <w:left w:val="nil"/>
              <w:bottom w:val="nil"/>
              <w:right w:val="nil"/>
            </w:tcBorders>
            <w:vAlign w:val="bottom"/>
          </w:tcPr>
          <w:p w14:paraId="2F656A4B">
            <w:pPr>
              <w:snapToGrid w:val="0"/>
              <w:spacing w:line="180" w:lineRule="exact"/>
              <w:rPr>
                <w:rFonts w:hint="eastAsia" w:ascii="微软雅黑" w:hAnsi="微软雅黑"/>
                <w:sz w:val="18"/>
                <w:szCs w:val="18"/>
              </w:rPr>
            </w:pPr>
            <w:r>
              <w:rPr>
                <w:rFonts w:hint="eastAsia" w:ascii="微软雅黑" w:hAnsi="微软雅黑"/>
                <w:sz w:val="18"/>
                <w:szCs w:val="18"/>
              </w:rPr>
              <w:t>：</w:t>
            </w:r>
            <w:bookmarkStart w:id="11" w:name="软件版本"/>
            <w:r>
              <w:rPr>
                <w:rFonts w:hint="eastAsia" w:ascii="微软雅黑" w:hAnsi="微软雅黑"/>
                <w:sz w:val="18"/>
                <w:szCs w:val="18"/>
              </w:rPr>
              <w:t>20240101(SP1)</w:t>
            </w:r>
            <w:bookmarkEnd w:id="11"/>
          </w:p>
        </w:tc>
        <w:tc>
          <w:tcPr>
            <w:tcW w:w="3957" w:type="dxa"/>
            <w:vMerge w:val="continue"/>
            <w:tcBorders>
              <w:top w:val="single" w:color="auto" w:sz="2" w:space="0"/>
              <w:left w:val="nil"/>
              <w:bottom w:val="nil"/>
              <w:right w:val="nil"/>
            </w:tcBorders>
            <w:vAlign w:val="center"/>
          </w:tcPr>
          <w:p w14:paraId="60AB8035">
            <w:pPr>
              <w:snapToGrid w:val="0"/>
              <w:spacing w:line="240" w:lineRule="auto"/>
              <w:jc w:val="center"/>
              <w:rPr>
                <w:rFonts w:asciiTheme="minorHAnsi" w:hAnsiTheme="minorHAnsi" w:eastAsiaTheme="minorEastAsia"/>
                <w:color w:val="767171" w:themeColor="background2" w:themeShade="80"/>
                <w:kern w:val="2"/>
                <w:sz w:val="18"/>
                <w:szCs w:val="22"/>
              </w:rPr>
            </w:pPr>
          </w:p>
        </w:tc>
      </w:tr>
      <w:tr w14:paraId="1EFA117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EADA973">
            <w:pPr>
              <w:snapToGrid w:val="0"/>
              <w:spacing w:line="180" w:lineRule="exact"/>
              <w:jc w:val="distribute"/>
              <w:rPr>
                <w:rFonts w:hint="eastAsia" w:ascii="微软雅黑" w:hAnsi="微软雅黑"/>
                <w:sz w:val="18"/>
                <w:szCs w:val="18"/>
              </w:rPr>
            </w:pPr>
            <w:r>
              <w:rPr>
                <w:rFonts w:hint="eastAsia" w:ascii="微软雅黑" w:hAnsi="微软雅黑"/>
                <w:sz w:val="18"/>
                <w:szCs w:val="18"/>
              </w:rPr>
              <w:t>正版授权码</w:t>
            </w:r>
          </w:p>
        </w:tc>
        <w:tc>
          <w:tcPr>
            <w:tcW w:w="3108" w:type="dxa"/>
            <w:tcBorders>
              <w:top w:val="nil"/>
              <w:left w:val="nil"/>
              <w:bottom w:val="nil"/>
              <w:right w:val="nil"/>
            </w:tcBorders>
            <w:vAlign w:val="bottom"/>
          </w:tcPr>
          <w:p w14:paraId="374A65B6">
            <w:pPr>
              <w:snapToGrid w:val="0"/>
              <w:spacing w:line="180" w:lineRule="exact"/>
              <w:rPr>
                <w:rFonts w:hint="default" w:ascii="微软雅黑" w:hAnsi="微软雅黑" w:eastAsia="微软雅黑"/>
                <w:sz w:val="18"/>
                <w:szCs w:val="18"/>
                <w:lang w:val="en-US" w:eastAsia="zh-CN"/>
              </w:rPr>
            </w:pPr>
            <w:r>
              <w:rPr>
                <w:rFonts w:hint="eastAsia" w:ascii="微软雅黑" w:hAnsi="微软雅黑"/>
                <w:sz w:val="18"/>
                <w:szCs w:val="18"/>
              </w:rPr>
              <w:t>：</w:t>
            </w:r>
            <w:r>
              <w:rPr>
                <w:rFonts w:hint="eastAsia" w:ascii="微软雅黑" w:hAnsi="微软雅黑"/>
                <w:sz w:val="18"/>
                <w:szCs w:val="18"/>
                <w:lang w:val="en-US" w:eastAsia="zh-CN"/>
              </w:rPr>
              <w:t>/*/*/*/*/*/*/*/*</w:t>
            </w:r>
          </w:p>
        </w:tc>
        <w:tc>
          <w:tcPr>
            <w:tcW w:w="3957" w:type="dxa"/>
            <w:vMerge w:val="continue"/>
            <w:tcBorders>
              <w:top w:val="single" w:color="auto" w:sz="2" w:space="0"/>
              <w:left w:val="nil"/>
              <w:bottom w:val="nil"/>
              <w:right w:val="nil"/>
            </w:tcBorders>
            <w:vAlign w:val="center"/>
          </w:tcPr>
          <w:p w14:paraId="3C2CD527">
            <w:pPr>
              <w:snapToGrid w:val="0"/>
              <w:spacing w:line="240" w:lineRule="auto"/>
              <w:jc w:val="center"/>
              <w:rPr>
                <w:rFonts w:asciiTheme="minorHAnsi" w:hAnsiTheme="minorHAnsi" w:eastAsiaTheme="minorEastAsia"/>
                <w:color w:val="767171" w:themeColor="background2" w:themeShade="80"/>
                <w:kern w:val="2"/>
                <w:sz w:val="18"/>
                <w:szCs w:val="22"/>
              </w:rPr>
            </w:pPr>
          </w:p>
        </w:tc>
      </w:tr>
      <w:tr w14:paraId="0E31F6A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A7BA81C">
            <w:pPr>
              <w:snapToGrid w:val="0"/>
              <w:spacing w:line="180" w:lineRule="exact"/>
              <w:jc w:val="distribute"/>
              <w:rPr>
                <w:rFonts w:hint="eastAsia" w:ascii="微软雅黑" w:hAnsi="微软雅黑"/>
                <w:sz w:val="18"/>
                <w:szCs w:val="18"/>
              </w:rPr>
            </w:pPr>
            <w:r>
              <w:rPr>
                <w:rFonts w:hint="eastAsia" w:ascii="微软雅黑" w:hAnsi="微软雅黑"/>
                <w:sz w:val="18"/>
                <w:szCs w:val="18"/>
              </w:rPr>
              <w:t>研发单位</w:t>
            </w:r>
          </w:p>
        </w:tc>
        <w:tc>
          <w:tcPr>
            <w:tcW w:w="3108" w:type="dxa"/>
            <w:tcBorders>
              <w:top w:val="nil"/>
              <w:left w:val="nil"/>
              <w:bottom w:val="nil"/>
              <w:right w:val="nil"/>
            </w:tcBorders>
            <w:vAlign w:val="bottom"/>
          </w:tcPr>
          <w:p w14:paraId="74ED43BD">
            <w:pPr>
              <w:snapToGrid w:val="0"/>
              <w:spacing w:line="180" w:lineRule="exact"/>
              <w:rPr>
                <w:rFonts w:hint="eastAsia" w:ascii="微软雅黑" w:hAnsi="微软雅黑"/>
                <w:sz w:val="18"/>
                <w:szCs w:val="18"/>
              </w:rPr>
            </w:pPr>
            <w:r>
              <w:rPr>
                <w:rFonts w:hint="eastAsia" w:ascii="微软雅黑" w:hAnsi="微软雅黑"/>
                <w:sz w:val="18"/>
                <w:szCs w:val="18"/>
              </w:rPr>
              <w:t>：北京绿建软件股份有限公司</w:t>
            </w:r>
          </w:p>
        </w:tc>
        <w:tc>
          <w:tcPr>
            <w:tcW w:w="3957" w:type="dxa"/>
            <w:vMerge w:val="continue"/>
            <w:tcBorders>
              <w:top w:val="single" w:color="auto" w:sz="2" w:space="0"/>
              <w:left w:val="nil"/>
              <w:bottom w:val="nil"/>
              <w:right w:val="nil"/>
            </w:tcBorders>
            <w:vAlign w:val="center"/>
          </w:tcPr>
          <w:p w14:paraId="4D4C9661">
            <w:pPr>
              <w:snapToGrid w:val="0"/>
              <w:spacing w:line="240" w:lineRule="auto"/>
              <w:jc w:val="center"/>
              <w:rPr>
                <w:rFonts w:asciiTheme="minorHAnsi" w:hAnsiTheme="minorHAnsi" w:eastAsiaTheme="minorEastAsia"/>
                <w:color w:val="767171" w:themeColor="background2" w:themeShade="80"/>
                <w:kern w:val="2"/>
                <w:sz w:val="18"/>
                <w:szCs w:val="22"/>
              </w:rPr>
            </w:pPr>
          </w:p>
        </w:tc>
      </w:tr>
    </w:tbl>
    <w:p w14:paraId="2DD068B1">
      <w:pPr>
        <w:tabs>
          <w:tab w:val="left" w:pos="2310"/>
          <w:tab w:val="center" w:pos="4333"/>
        </w:tabs>
        <w:snapToGrid w:val="0"/>
        <w:spacing w:line="240" w:lineRule="auto"/>
        <w:ind w:left="-497" w:leftChars="-237" w:hanging="1"/>
        <w:rPr>
          <w:rFonts w:hint="eastAsia" w:ascii="微软雅黑" w:hAnsi="微软雅黑"/>
          <w:sz w:val="18"/>
        </w:rPr>
        <w:sectPr>
          <w:footerReference r:id="rId7" w:type="first"/>
          <w:headerReference r:id="rId5" w:type="default"/>
          <w:footerReference r:id="rId6" w:type="default"/>
          <w:pgSz w:w="11906" w:h="16838"/>
          <w:pgMar w:top="1440" w:right="1304" w:bottom="284" w:left="1304" w:header="851" w:footer="0" w:gutter="0"/>
          <w:cols w:space="425" w:num="1"/>
          <w:titlePg/>
          <w:docGrid w:type="lines" w:linePitch="312" w:charSpace="0"/>
        </w:sectPr>
      </w:pPr>
    </w:p>
    <w:p w14:paraId="2F4D2A17">
      <w:pPr>
        <w:spacing w:line="240" w:lineRule="auto"/>
        <w:rPr>
          <w:rFonts w:eastAsia="黑体"/>
          <w:b/>
          <w:bCs/>
          <w:sz w:val="72"/>
          <w:szCs w:val="72"/>
        </w:rPr>
      </w:pPr>
    </w:p>
    <w:p w14:paraId="3E547B63">
      <w:pPr>
        <w:jc w:val="center"/>
        <w:rPr>
          <w:sz w:val="28"/>
          <w:szCs w:val="28"/>
        </w:rPr>
      </w:pPr>
      <w:bookmarkStart w:id="12" w:name="目录"/>
      <w:r>
        <w:rPr>
          <w:sz w:val="28"/>
          <w:szCs w:val="28"/>
        </w:rPr>
        <w:t>目  录</w:t>
      </w:r>
    </w:p>
    <w:p w14:paraId="4A0E664C">
      <w:pPr>
        <w:pStyle w:val="20"/>
        <w:rPr>
          <w:rFonts w:ascii="Calibri" w:hAnsi="Calibri" w:eastAsia="宋体"/>
          <w:b w:val="0"/>
          <w:bCs w:val="0"/>
          <w:szCs w:val="22"/>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"_Toc172042356" </w:instrText>
      </w:r>
      <w:r>
        <w:fldChar w:fldCharType="separate"/>
      </w:r>
      <w:r>
        <w:rPr>
          <w:rStyle w:val="31"/>
        </w:rPr>
        <w:t>1.</w:t>
      </w:r>
      <w:r>
        <w:rPr>
          <w:rFonts w:ascii="Calibri" w:hAnsi="Calibri" w:eastAsia="宋体"/>
          <w:b w:val="0"/>
          <w:bCs w:val="0"/>
          <w:szCs w:val="22"/>
        </w:rPr>
        <w:tab/>
      </w:r>
      <w:r>
        <w:rPr>
          <w:rStyle w:val="31"/>
        </w:rPr>
        <w:t>项目概况</w:t>
      </w:r>
      <w:r>
        <w:tab/>
      </w:r>
      <w:r>
        <w:fldChar w:fldCharType="begin"/>
      </w:r>
      <w:r>
        <w:instrText xml:space="preserve"> PAGEREF _Toc172042356 \h </w:instrText>
      </w:r>
      <w:r>
        <w:fldChar w:fldCharType="separate"/>
      </w:r>
      <w:r>
        <w:t>3</w:t>
      </w:r>
      <w:r>
        <w:fldChar w:fldCharType="end"/>
      </w:r>
      <w:r>
        <w:fldChar w:fldCharType="end"/>
      </w:r>
    </w:p>
    <w:p w14:paraId="25774994">
      <w:pPr>
        <w:pStyle w:val="20"/>
        <w:rPr>
          <w:rFonts w:ascii="Calibri" w:hAnsi="Calibri" w:eastAsia="宋体"/>
          <w:b w:val="0"/>
          <w:bCs w:val="0"/>
          <w:szCs w:val="22"/>
        </w:rPr>
      </w:pPr>
      <w:r>
        <w:fldChar w:fldCharType="begin"/>
      </w:r>
      <w:r>
        <w:instrText xml:space="preserve"> HYPERLINK \l "_Toc172042357" </w:instrText>
      </w:r>
      <w:r>
        <w:fldChar w:fldCharType="separate"/>
      </w:r>
      <w:r>
        <w:rPr>
          <w:rStyle w:val="31"/>
        </w:rPr>
        <w:t>2.</w:t>
      </w:r>
      <w:r>
        <w:rPr>
          <w:rFonts w:ascii="Calibri" w:hAnsi="Calibri" w:eastAsia="宋体"/>
          <w:b w:val="0"/>
          <w:bCs w:val="0"/>
          <w:szCs w:val="22"/>
        </w:rPr>
        <w:tab/>
      </w:r>
      <w:r>
        <w:rPr>
          <w:rStyle w:val="31"/>
        </w:rPr>
        <w:t>分析依据</w:t>
      </w:r>
      <w:r>
        <w:tab/>
      </w:r>
      <w:r>
        <w:fldChar w:fldCharType="begin"/>
      </w:r>
      <w:r>
        <w:instrText xml:space="preserve"> PAGEREF _Toc172042357 \h </w:instrText>
      </w:r>
      <w:r>
        <w:fldChar w:fldCharType="separate"/>
      </w:r>
      <w:r>
        <w:t>3</w:t>
      </w:r>
      <w:r>
        <w:fldChar w:fldCharType="end"/>
      </w:r>
      <w:r>
        <w:fldChar w:fldCharType="end"/>
      </w:r>
    </w:p>
    <w:p w14:paraId="6C4E6FAE">
      <w:pPr>
        <w:pStyle w:val="22"/>
        <w:rPr>
          <w:rFonts w:ascii="Calibri" w:hAnsi="Calibri" w:eastAsia="宋体"/>
          <w:szCs w:val="22"/>
        </w:rPr>
      </w:pPr>
      <w:r>
        <w:fldChar w:fldCharType="begin"/>
      </w:r>
      <w:r>
        <w:instrText xml:space="preserve"> HYPERLINK \l "_Toc172042358" </w:instrText>
      </w:r>
      <w:r>
        <w:fldChar w:fldCharType="separate"/>
      </w:r>
      <w:r>
        <w:rPr>
          <w:rStyle w:val="31"/>
          <w:lang w:val="en-GB"/>
        </w:rPr>
        <w:t>2.1</w:t>
      </w:r>
      <w:r>
        <w:rPr>
          <w:rFonts w:ascii="Calibri" w:hAnsi="Calibri" w:eastAsia="宋体"/>
          <w:szCs w:val="22"/>
        </w:rPr>
        <w:tab/>
      </w:r>
      <w:r>
        <w:rPr>
          <w:rStyle w:val="31"/>
        </w:rPr>
        <w:t>评价依据</w:t>
      </w:r>
      <w:r>
        <w:tab/>
      </w:r>
      <w:r>
        <w:fldChar w:fldCharType="begin"/>
      </w:r>
      <w:r>
        <w:instrText xml:space="preserve"> PAGEREF _Toc172042358 \h </w:instrText>
      </w:r>
      <w:r>
        <w:fldChar w:fldCharType="separate"/>
      </w:r>
      <w:r>
        <w:t>3</w:t>
      </w:r>
      <w:r>
        <w:fldChar w:fldCharType="end"/>
      </w:r>
      <w:r>
        <w:fldChar w:fldCharType="end"/>
      </w:r>
    </w:p>
    <w:p w14:paraId="181F59E7">
      <w:pPr>
        <w:pStyle w:val="22"/>
        <w:rPr>
          <w:rFonts w:ascii="Calibri" w:hAnsi="Calibri" w:eastAsia="宋体"/>
          <w:szCs w:val="22"/>
        </w:rPr>
      </w:pPr>
      <w:r>
        <w:fldChar w:fldCharType="begin"/>
      </w:r>
      <w:r>
        <w:instrText xml:space="preserve"> HYPERLINK \l "_Toc172042359" </w:instrText>
      </w:r>
      <w:r>
        <w:fldChar w:fldCharType="separate"/>
      </w:r>
      <w:r>
        <w:rPr>
          <w:rStyle w:val="31"/>
          <w:lang w:val="en-GB"/>
        </w:rPr>
        <w:t>2.2</w:t>
      </w:r>
      <w:r>
        <w:rPr>
          <w:rFonts w:ascii="Calibri" w:hAnsi="Calibri" w:eastAsia="宋体"/>
          <w:szCs w:val="22"/>
        </w:rPr>
        <w:tab/>
      </w:r>
      <w:r>
        <w:rPr>
          <w:rStyle w:val="31"/>
        </w:rPr>
        <w:t>标准要求</w:t>
      </w:r>
      <w:r>
        <w:tab/>
      </w:r>
      <w:r>
        <w:fldChar w:fldCharType="begin"/>
      </w:r>
      <w:r>
        <w:instrText xml:space="preserve"> PAGEREF _Toc172042359 \h </w:instrText>
      </w:r>
      <w:r>
        <w:fldChar w:fldCharType="separate"/>
      </w:r>
      <w:r>
        <w:t>3</w:t>
      </w:r>
      <w:r>
        <w:fldChar w:fldCharType="end"/>
      </w:r>
      <w:r>
        <w:fldChar w:fldCharType="end"/>
      </w:r>
    </w:p>
    <w:p w14:paraId="05C8B7C8">
      <w:pPr>
        <w:pStyle w:val="20"/>
        <w:rPr>
          <w:rFonts w:ascii="Calibri" w:hAnsi="Calibri" w:eastAsia="宋体"/>
          <w:b w:val="0"/>
          <w:bCs w:val="0"/>
          <w:szCs w:val="22"/>
        </w:rPr>
      </w:pPr>
      <w:r>
        <w:fldChar w:fldCharType="begin"/>
      </w:r>
      <w:r>
        <w:instrText xml:space="preserve"> HYPERLINK \l "_Toc172042360" </w:instrText>
      </w:r>
      <w:r>
        <w:fldChar w:fldCharType="separate"/>
      </w:r>
      <w:r>
        <w:rPr>
          <w:rStyle w:val="31"/>
        </w:rPr>
        <w:t>3.</w:t>
      </w:r>
      <w:r>
        <w:rPr>
          <w:rFonts w:ascii="Calibri" w:hAnsi="Calibri" w:eastAsia="宋体"/>
          <w:b w:val="0"/>
          <w:bCs w:val="0"/>
          <w:szCs w:val="22"/>
        </w:rPr>
        <w:tab/>
      </w:r>
      <w:r>
        <w:rPr>
          <w:rStyle w:val="31"/>
        </w:rPr>
        <w:t>技术路线</w:t>
      </w:r>
      <w:r>
        <w:tab/>
      </w:r>
      <w:r>
        <w:fldChar w:fldCharType="begin"/>
      </w:r>
      <w:r>
        <w:instrText xml:space="preserve"> PAGEREF _Toc172042360 \h </w:instrText>
      </w:r>
      <w:r>
        <w:fldChar w:fldCharType="separate"/>
      </w:r>
      <w:r>
        <w:t>4</w:t>
      </w:r>
      <w:r>
        <w:fldChar w:fldCharType="end"/>
      </w:r>
      <w:r>
        <w:fldChar w:fldCharType="end"/>
      </w:r>
    </w:p>
    <w:p w14:paraId="003F245D">
      <w:pPr>
        <w:pStyle w:val="22"/>
        <w:rPr>
          <w:rFonts w:ascii="Calibri" w:hAnsi="Calibri" w:eastAsia="宋体"/>
          <w:szCs w:val="22"/>
        </w:rPr>
      </w:pPr>
      <w:r>
        <w:fldChar w:fldCharType="begin"/>
      </w:r>
      <w:r>
        <w:instrText xml:space="preserve"> HYPERLINK \l "_Toc172042361" </w:instrText>
      </w:r>
      <w:r>
        <w:fldChar w:fldCharType="separate"/>
      </w:r>
      <w:r>
        <w:rPr>
          <w:rStyle w:val="31"/>
          <w:lang w:val="en-GB"/>
        </w:rPr>
        <w:t>3.1</w:t>
      </w:r>
      <w:r>
        <w:rPr>
          <w:rFonts w:ascii="Calibri" w:hAnsi="Calibri" w:eastAsia="宋体"/>
          <w:szCs w:val="22"/>
        </w:rPr>
        <w:tab/>
      </w:r>
      <w:r>
        <w:rPr>
          <w:rStyle w:val="31"/>
        </w:rPr>
        <w:t>灯具数据</w:t>
      </w:r>
      <w:r>
        <w:tab/>
      </w:r>
      <w:r>
        <w:fldChar w:fldCharType="begin"/>
      </w:r>
      <w:r>
        <w:instrText xml:space="preserve"> PAGEREF _Toc172042361 \h </w:instrText>
      </w:r>
      <w:r>
        <w:fldChar w:fldCharType="separate"/>
      </w:r>
      <w:r>
        <w:t>4</w:t>
      </w:r>
      <w:r>
        <w:fldChar w:fldCharType="end"/>
      </w:r>
      <w:r>
        <w:fldChar w:fldCharType="end"/>
      </w:r>
    </w:p>
    <w:p w14:paraId="1162B9D0">
      <w:pPr>
        <w:pStyle w:val="22"/>
        <w:rPr>
          <w:rFonts w:ascii="Calibri" w:hAnsi="Calibri" w:eastAsia="宋体"/>
          <w:szCs w:val="22"/>
        </w:rPr>
      </w:pPr>
      <w:r>
        <w:fldChar w:fldCharType="begin"/>
      </w:r>
      <w:r>
        <w:instrText xml:space="preserve"> HYPERLINK \l "_Toc172042362" </w:instrText>
      </w:r>
      <w:r>
        <w:fldChar w:fldCharType="separate"/>
      </w:r>
      <w:r>
        <w:rPr>
          <w:rStyle w:val="31"/>
          <w:lang w:val="en-GB"/>
        </w:rPr>
        <w:t>3.2</w:t>
      </w:r>
      <w:r>
        <w:rPr>
          <w:rFonts w:ascii="Calibri" w:hAnsi="Calibri" w:eastAsia="宋体"/>
          <w:szCs w:val="22"/>
        </w:rPr>
        <w:tab/>
      </w:r>
      <w:r>
        <w:rPr>
          <w:rStyle w:val="31"/>
        </w:rPr>
        <w:t>灯具配光曲线</w:t>
      </w:r>
      <w:r>
        <w:tab/>
      </w:r>
      <w:r>
        <w:fldChar w:fldCharType="begin"/>
      </w:r>
      <w:r>
        <w:instrText xml:space="preserve"> PAGEREF _Toc172042362 \h </w:instrText>
      </w:r>
      <w:r>
        <w:fldChar w:fldCharType="separate"/>
      </w:r>
      <w:r>
        <w:t>5</w:t>
      </w:r>
      <w:r>
        <w:fldChar w:fldCharType="end"/>
      </w:r>
      <w:r>
        <w:fldChar w:fldCharType="end"/>
      </w:r>
    </w:p>
    <w:p w14:paraId="137F129E">
      <w:pPr>
        <w:pStyle w:val="22"/>
        <w:rPr>
          <w:rFonts w:ascii="Calibri" w:hAnsi="Calibri" w:eastAsia="宋体"/>
          <w:szCs w:val="22"/>
        </w:rPr>
      </w:pPr>
      <w:r>
        <w:fldChar w:fldCharType="begin"/>
      </w:r>
      <w:r>
        <w:instrText xml:space="preserve"> HYPERLINK \l "_Toc172042363" </w:instrText>
      </w:r>
      <w:r>
        <w:fldChar w:fldCharType="separate"/>
      </w:r>
      <w:r>
        <w:rPr>
          <w:rStyle w:val="31"/>
          <w:lang w:val="en-GB"/>
        </w:rPr>
        <w:t>3.3</w:t>
      </w:r>
      <w:r>
        <w:rPr>
          <w:rFonts w:ascii="Calibri" w:hAnsi="Calibri" w:eastAsia="宋体"/>
          <w:szCs w:val="22"/>
        </w:rPr>
        <w:tab/>
      </w:r>
      <w:r>
        <w:rPr>
          <w:rStyle w:val="31"/>
        </w:rPr>
        <w:t>安装位置</w:t>
      </w:r>
      <w:r>
        <w:tab/>
      </w:r>
      <w:r>
        <w:fldChar w:fldCharType="begin"/>
      </w:r>
      <w:r>
        <w:instrText xml:space="preserve"> PAGEREF _Toc172042363 \h </w:instrText>
      </w:r>
      <w:r>
        <w:fldChar w:fldCharType="separate"/>
      </w:r>
      <w:r>
        <w:t>6</w:t>
      </w:r>
      <w:r>
        <w:fldChar w:fldCharType="end"/>
      </w:r>
      <w:r>
        <w:fldChar w:fldCharType="end"/>
      </w:r>
    </w:p>
    <w:p w14:paraId="0CFA0622">
      <w:pPr>
        <w:pStyle w:val="22"/>
        <w:rPr>
          <w:rFonts w:ascii="Calibri" w:hAnsi="Calibri" w:eastAsia="宋体"/>
          <w:szCs w:val="22"/>
        </w:rPr>
      </w:pPr>
      <w:r>
        <w:fldChar w:fldCharType="begin"/>
      </w:r>
      <w:r>
        <w:instrText xml:space="preserve"> HYPERLINK \l "_Toc172042364" </w:instrText>
      </w:r>
      <w:r>
        <w:fldChar w:fldCharType="separate"/>
      </w:r>
      <w:r>
        <w:rPr>
          <w:rStyle w:val="31"/>
          <w:lang w:val="en-GB"/>
        </w:rPr>
        <w:t>3.4</w:t>
      </w:r>
      <w:r>
        <w:rPr>
          <w:rFonts w:ascii="Calibri" w:hAnsi="Calibri" w:eastAsia="宋体"/>
          <w:szCs w:val="22"/>
        </w:rPr>
        <w:tab/>
      </w:r>
      <w:r>
        <w:rPr>
          <w:rStyle w:val="31"/>
        </w:rPr>
        <w:t>计算模型</w:t>
      </w:r>
      <w:r>
        <w:tab/>
      </w:r>
      <w:r>
        <w:fldChar w:fldCharType="begin"/>
      </w:r>
      <w:r>
        <w:instrText xml:space="preserve"> PAGEREF _Toc172042364 \h </w:instrText>
      </w:r>
      <w:r>
        <w:fldChar w:fldCharType="separate"/>
      </w:r>
      <w:r>
        <w:t>7</w:t>
      </w:r>
      <w:r>
        <w:fldChar w:fldCharType="end"/>
      </w:r>
      <w:r>
        <w:fldChar w:fldCharType="end"/>
      </w:r>
    </w:p>
    <w:p w14:paraId="6EC9FE01">
      <w:pPr>
        <w:pStyle w:val="20"/>
        <w:rPr>
          <w:rFonts w:ascii="Calibri" w:hAnsi="Calibri" w:eastAsia="宋体"/>
          <w:b w:val="0"/>
          <w:bCs w:val="0"/>
          <w:szCs w:val="22"/>
        </w:rPr>
      </w:pPr>
      <w:r>
        <w:fldChar w:fldCharType="begin"/>
      </w:r>
      <w:r>
        <w:instrText xml:space="preserve"> HYPERLINK \l "_Toc172042365" </w:instrText>
      </w:r>
      <w:r>
        <w:fldChar w:fldCharType="separate"/>
      </w:r>
      <w:r>
        <w:rPr>
          <w:rStyle w:val="31"/>
        </w:rPr>
        <w:t>4.</w:t>
      </w:r>
      <w:r>
        <w:rPr>
          <w:rFonts w:ascii="Calibri" w:hAnsi="Calibri" w:eastAsia="宋体"/>
          <w:b w:val="0"/>
          <w:bCs w:val="0"/>
          <w:szCs w:val="22"/>
        </w:rPr>
        <w:tab/>
      </w:r>
      <w:r>
        <w:rPr>
          <w:rStyle w:val="31"/>
        </w:rPr>
        <w:t>夜景照明分析</w:t>
      </w:r>
      <w:r>
        <w:tab/>
      </w:r>
      <w:r>
        <w:fldChar w:fldCharType="begin"/>
      </w:r>
      <w:r>
        <w:instrText xml:space="preserve"> PAGEREF _Toc172042365 \h </w:instrText>
      </w:r>
      <w:r>
        <w:fldChar w:fldCharType="separate"/>
      </w:r>
      <w:r>
        <w:t>7</w:t>
      </w:r>
      <w:r>
        <w:fldChar w:fldCharType="end"/>
      </w:r>
      <w:r>
        <w:fldChar w:fldCharType="end"/>
      </w:r>
    </w:p>
    <w:p w14:paraId="56224C7A">
      <w:pPr>
        <w:pStyle w:val="22"/>
        <w:rPr>
          <w:rFonts w:ascii="Calibri" w:hAnsi="Calibri" w:eastAsia="宋体"/>
          <w:szCs w:val="22"/>
        </w:rPr>
      </w:pPr>
      <w:r>
        <w:fldChar w:fldCharType="begin"/>
      </w:r>
      <w:r>
        <w:instrText xml:space="preserve"> HYPERLINK \l "_Toc172042366" </w:instrText>
      </w:r>
      <w:r>
        <w:fldChar w:fldCharType="separate"/>
      </w:r>
      <w:r>
        <w:rPr>
          <w:rStyle w:val="31"/>
          <w:lang w:val="en-GB"/>
        </w:rPr>
        <w:t>4.1</w:t>
      </w:r>
      <w:r>
        <w:rPr>
          <w:rFonts w:ascii="Calibri" w:hAnsi="Calibri" w:eastAsia="宋体"/>
          <w:szCs w:val="22"/>
        </w:rPr>
        <w:tab/>
      </w:r>
      <w:r>
        <w:rPr>
          <w:rStyle w:val="31"/>
        </w:rPr>
        <w:t>夜景照明对居室的影响</w:t>
      </w:r>
      <w:r>
        <w:tab/>
      </w:r>
      <w:r>
        <w:fldChar w:fldCharType="begin"/>
      </w:r>
      <w:r>
        <w:instrText xml:space="preserve"> PAGEREF _Toc172042366 \h </w:instrText>
      </w:r>
      <w:r>
        <w:fldChar w:fldCharType="separate"/>
      </w:r>
      <w:r>
        <w:t>8</w:t>
      </w:r>
      <w:r>
        <w:fldChar w:fldCharType="end"/>
      </w:r>
      <w:r>
        <w:fldChar w:fldCharType="end"/>
      </w:r>
    </w:p>
    <w:p w14:paraId="7CDCC7BF">
      <w:pPr>
        <w:pStyle w:val="22"/>
        <w:rPr>
          <w:rFonts w:ascii="Calibri" w:hAnsi="Calibri" w:eastAsia="宋体"/>
          <w:szCs w:val="22"/>
        </w:rPr>
      </w:pPr>
      <w:r>
        <w:fldChar w:fldCharType="begin"/>
      </w:r>
      <w:r>
        <w:instrText xml:space="preserve"> HYPERLINK \l "_Toc172042367" </w:instrText>
      </w:r>
      <w:r>
        <w:fldChar w:fldCharType="separate"/>
      </w:r>
      <w:r>
        <w:rPr>
          <w:rStyle w:val="31"/>
          <w:lang w:val="en-GB"/>
        </w:rPr>
        <w:t>4.2</w:t>
      </w:r>
      <w:r>
        <w:rPr>
          <w:rFonts w:ascii="Calibri" w:hAnsi="Calibri" w:eastAsia="宋体"/>
          <w:szCs w:val="22"/>
        </w:rPr>
        <w:tab/>
      </w:r>
      <w:r>
        <w:rPr>
          <w:rStyle w:val="31"/>
        </w:rPr>
        <w:t>室外显示屏平均亮度</w:t>
      </w:r>
      <w:r>
        <w:tab/>
      </w:r>
      <w:r>
        <w:fldChar w:fldCharType="begin"/>
      </w:r>
      <w:r>
        <w:instrText xml:space="preserve"> PAGEREF _Toc172042367 \h </w:instrText>
      </w:r>
      <w:r>
        <w:fldChar w:fldCharType="separate"/>
      </w:r>
      <w:r>
        <w:t>9</w:t>
      </w:r>
      <w:r>
        <w:fldChar w:fldCharType="end"/>
      </w:r>
      <w:r>
        <w:fldChar w:fldCharType="end"/>
      </w:r>
    </w:p>
    <w:p w14:paraId="3CE7EC03">
      <w:pPr>
        <w:pStyle w:val="20"/>
        <w:rPr>
          <w:rFonts w:ascii="Calibri" w:hAnsi="Calibri" w:eastAsia="宋体"/>
          <w:b w:val="0"/>
          <w:bCs w:val="0"/>
          <w:szCs w:val="22"/>
        </w:rPr>
      </w:pPr>
      <w:r>
        <w:fldChar w:fldCharType="begin"/>
      </w:r>
      <w:r>
        <w:instrText xml:space="preserve"> HYPERLINK \l "_Toc172042368" </w:instrText>
      </w:r>
      <w:r>
        <w:fldChar w:fldCharType="separate"/>
      </w:r>
      <w:r>
        <w:rPr>
          <w:rStyle w:val="31"/>
        </w:rPr>
        <w:t>5.</w:t>
      </w:r>
      <w:r>
        <w:rPr>
          <w:rFonts w:ascii="Calibri" w:hAnsi="Calibri" w:eastAsia="宋体"/>
          <w:b w:val="0"/>
          <w:bCs w:val="0"/>
          <w:szCs w:val="22"/>
        </w:rPr>
        <w:tab/>
      </w:r>
      <w:r>
        <w:rPr>
          <w:rStyle w:val="31"/>
        </w:rPr>
        <w:t>评价结论</w:t>
      </w:r>
      <w:r>
        <w:tab/>
      </w:r>
      <w:r>
        <w:fldChar w:fldCharType="begin"/>
      </w:r>
      <w:r>
        <w:instrText xml:space="preserve"> PAGEREF _Toc172042368 \h </w:instrText>
      </w:r>
      <w:r>
        <w:fldChar w:fldCharType="separate"/>
      </w:r>
      <w:r>
        <w:t>10</w:t>
      </w:r>
      <w:r>
        <w:fldChar w:fldCharType="end"/>
      </w:r>
      <w:r>
        <w:fldChar w:fldCharType="end"/>
      </w:r>
    </w:p>
    <w:p w14:paraId="28561239">
      <w:pPr>
        <w:rPr>
          <w:sz w:val="28"/>
          <w:szCs w:val="28"/>
        </w:rPr>
        <w:sectPr>
          <w:headerReference r:id="rId8" w:type="default"/>
          <w:footerReference r:id="rId9" w:type="default"/>
          <w:pgSz w:w="11906" w:h="16838"/>
          <w:pgMar w:top="1440" w:right="1418" w:bottom="1440" w:left="1418" w:header="851" w:footer="992" w:gutter="0"/>
          <w:cols w:space="425" w:num="1"/>
          <w:titlePg/>
          <w:docGrid w:type="lines" w:linePitch="312" w:charSpace="0"/>
        </w:sectPr>
      </w:pPr>
      <w:r>
        <w:rPr>
          <w:sz w:val="28"/>
          <w:szCs w:val="28"/>
        </w:rPr>
        <w:fldChar w:fldCharType="end"/>
      </w:r>
      <w:bookmarkEnd w:id="12"/>
    </w:p>
    <w:p w14:paraId="0905D41A">
      <w:pPr>
        <w:pStyle w:val="2"/>
        <w:ind w:left="432" w:hanging="432"/>
      </w:pPr>
      <w:bookmarkStart w:id="13" w:name="_Toc172042356"/>
      <w:r>
        <w:t>项目概况</w:t>
      </w:r>
      <w:bookmarkEnd w:id="13"/>
    </w:p>
    <w:p w14:paraId="37AB96AD">
      <w:pPr>
        <w:bidi w:val="0"/>
        <w:spacing w:line="240" w:lineRule="auto"/>
        <w:jc w:val="center"/>
      </w:pPr>
      <w:bookmarkStart w:id="14" w:name="模型观察"/>
      <w:bookmarkEnd w:id="14"/>
      <w:r>
        <w:drawing>
          <wp:inline distT="0" distB="0" distL="114300" distR="114300">
            <wp:extent cx="4454525" cy="3860165"/>
            <wp:effectExtent l="0" t="0" r="3175" b="698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2"/>
                    <a:stretch>
                      <a:fillRect/>
                    </a:stretch>
                  </pic:blipFill>
                  <pic:spPr>
                    <a:xfrm>
                      <a:off x="0" y="0"/>
                      <a:ext cx="4454525" cy="3860165"/>
                    </a:xfrm>
                    <a:prstGeom prst="rect">
                      <a:avLst/>
                    </a:prstGeom>
                    <a:noFill/>
                    <a:ln>
                      <a:noFill/>
                    </a:ln>
                  </pic:spPr>
                </pic:pic>
              </a:graphicData>
            </a:graphic>
          </wp:inline>
        </w:drawing>
      </w:r>
    </w:p>
    <w:p w14:paraId="73F63164">
      <w:pPr>
        <w:bidi w:val="0"/>
        <w:jc w:val="center"/>
      </w:pPr>
      <w:r>
        <w:rPr>
          <w:rFonts w:ascii="黑体" w:hAnsi="黑体"/>
          <w:sz w:val="18"/>
          <w:szCs w:val="18"/>
        </w:rPr>
        <w:t>图</w:t>
      </w:r>
      <w:r>
        <w:t xml:space="preserve"> </w:t>
      </w:r>
      <w:r>
        <w:fldChar w:fldCharType="begin"/>
      </w:r>
      <w:r>
        <w:instrText xml:space="preserve"> SEQ 图 \* ARABIC </w:instrText>
      </w:r>
      <w:r>
        <w:fldChar w:fldCharType="separate"/>
      </w:r>
      <w:r>
        <w:t>1</w:t>
      </w:r>
      <w:r>
        <w:fldChar w:fldCharType="end"/>
      </w:r>
      <w:r>
        <w:rPr>
          <w:rFonts w:hint="eastAsia" w:ascii="黑体" w:hAnsi="黑体"/>
          <w:sz w:val="18"/>
          <w:szCs w:val="18"/>
        </w:rPr>
        <w:t>模型观察</w:t>
      </w:r>
    </w:p>
    <w:p w14:paraId="46D1ACC2">
      <w:pPr>
        <w:pStyle w:val="3"/>
        <w:ind w:firstLine="0" w:firstLineChars="0"/>
        <w:jc w:val="center"/>
        <w:rPr>
          <w:lang w:val="en-US"/>
        </w:rPr>
      </w:pPr>
      <w:r>
        <w:drawing>
          <wp:inline distT="0" distB="0" distL="114300" distR="114300">
            <wp:extent cx="4497070" cy="3532505"/>
            <wp:effectExtent l="0" t="0" r="17780" b="10795"/>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3"/>
                    <a:stretch>
                      <a:fillRect/>
                    </a:stretch>
                  </pic:blipFill>
                  <pic:spPr>
                    <a:xfrm>
                      <a:off x="0" y="0"/>
                      <a:ext cx="4497070" cy="3532505"/>
                    </a:xfrm>
                    <a:prstGeom prst="rect">
                      <a:avLst/>
                    </a:prstGeom>
                    <a:noFill/>
                    <a:ln>
                      <a:noFill/>
                    </a:ln>
                  </pic:spPr>
                </pic:pic>
              </a:graphicData>
            </a:graphic>
          </wp:inline>
        </w:drawing>
      </w:r>
    </w:p>
    <w:p w14:paraId="6D313A82">
      <w:pPr>
        <w:pStyle w:val="12"/>
        <w:jc w:val="center"/>
      </w:pPr>
      <w:bookmarkStart w:id="15" w:name="总平面图"/>
      <w:bookmarkEnd w:id="15"/>
      <w:r>
        <w:rPr>
          <w:rFonts w:hint="eastAsia" w:ascii="黑体" w:hAnsi="黑体"/>
          <w:sz w:val="18"/>
          <w:szCs w:val="18"/>
        </w:rPr>
        <w:t>图</w:t>
      </w:r>
      <w:r>
        <w:t xml:space="preserve"> </w:t>
      </w:r>
      <w:r>
        <w:fldChar w:fldCharType="begin"/>
      </w:r>
      <w:r>
        <w:instrText xml:space="preserve"> SEQ 图 \* ARABIC </w:instrText>
      </w:r>
      <w:r>
        <w:fldChar w:fldCharType="separate"/>
      </w:r>
      <w:r>
        <w:t>2</w:t>
      </w:r>
      <w:r>
        <w:fldChar w:fldCharType="end"/>
      </w:r>
      <w:r>
        <w:rPr>
          <w:rFonts w:hint="eastAsia" w:ascii="黑体" w:hAnsi="黑体"/>
          <w:sz w:val="18"/>
          <w:szCs w:val="18"/>
        </w:rPr>
        <w:t>总平面图</w:t>
      </w:r>
    </w:p>
    <w:p w14:paraId="149E8770">
      <w:pPr>
        <w:pStyle w:val="2"/>
        <w:ind w:left="432" w:hanging="432"/>
      </w:pPr>
      <w:bookmarkStart w:id="16" w:name="_Toc172042357"/>
      <w:r>
        <w:t>分析依据</w:t>
      </w:r>
      <w:bookmarkEnd w:id="16"/>
    </w:p>
    <w:p w14:paraId="20BE910E">
      <w:pPr>
        <w:pStyle w:val="4"/>
        <w:rPr>
          <w:rFonts w:ascii="Times New Roman" w:cs="Times New Roman"/>
        </w:rPr>
      </w:pPr>
      <w:bookmarkStart w:id="17" w:name="_Toc172042358"/>
      <w:r>
        <w:rPr>
          <w:rFonts w:ascii="Times New Roman" w:cs="Times New Roman"/>
        </w:rPr>
        <w:t>评价依据</w:t>
      </w:r>
      <w:bookmarkEnd w:id="17"/>
    </w:p>
    <w:p w14:paraId="49CF96DC">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《绿色建筑评价标准》GB/T 50378</w:t>
      </w:r>
      <w:r>
        <w:rPr>
          <w:rFonts w:hint="eastAsia" w:ascii="微软雅黑" w:hAnsi="微软雅黑" w:eastAsia="微软雅黑"/>
        </w:rPr>
        <w:t>-2019 (2024年版)；</w:t>
      </w:r>
    </w:p>
    <w:p w14:paraId="3BDB486B">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《城市夜景照明设计规范》JGJ/T 163-2008</w:t>
      </w:r>
      <w:r>
        <w:rPr>
          <w:rFonts w:hint="eastAsia" w:ascii="微软雅黑" w:hAnsi="微软雅黑" w:eastAsia="微软雅黑"/>
        </w:rPr>
        <w:t>；</w:t>
      </w:r>
    </w:p>
    <w:p w14:paraId="66760A2F">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《室外照明干扰光限值规范》GB/T 35626-2017</w:t>
      </w:r>
      <w:r>
        <w:rPr>
          <w:rFonts w:hint="eastAsia" w:ascii="微软雅黑" w:hAnsi="微软雅黑" w:eastAsia="微软雅黑"/>
        </w:rPr>
        <w:t>；</w:t>
      </w:r>
    </w:p>
    <w:p w14:paraId="59719AB1">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《绿色建筑评价标准</w:t>
      </w:r>
      <w:r>
        <w:rPr>
          <w:rFonts w:hint="eastAsia" w:ascii="微软雅黑" w:hAnsi="微软雅黑" w:eastAsia="微软雅黑"/>
        </w:rPr>
        <w:t>技术细则</w:t>
      </w:r>
      <w:r>
        <w:rPr>
          <w:rFonts w:ascii="微软雅黑" w:hAnsi="微软雅黑" w:eastAsia="微软雅黑"/>
        </w:rPr>
        <w:t>》2019</w:t>
      </w:r>
      <w:r>
        <w:rPr>
          <w:rFonts w:hint="eastAsia" w:ascii="微软雅黑" w:hAnsi="微软雅黑" w:eastAsia="微软雅黑"/>
        </w:rPr>
        <w:t>；</w:t>
      </w:r>
    </w:p>
    <w:p w14:paraId="76486E89">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委托方提供的项目总平面图、建筑设计图纸、设计效果图等图纸资料</w:t>
      </w:r>
      <w:r>
        <w:rPr>
          <w:rFonts w:hint="eastAsia" w:ascii="微软雅黑" w:hAnsi="微软雅黑" w:eastAsia="微软雅黑"/>
        </w:rPr>
        <w:t>；</w:t>
      </w:r>
    </w:p>
    <w:p w14:paraId="53C56FBC">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委托方提供的其它相关资料</w:t>
      </w:r>
      <w:r>
        <w:rPr>
          <w:rFonts w:hint="eastAsia" w:ascii="微软雅黑" w:hAnsi="微软雅黑" w:eastAsia="微软雅黑"/>
        </w:rPr>
        <w:t>。</w:t>
      </w:r>
    </w:p>
    <w:p w14:paraId="585C63C6">
      <w:pPr>
        <w:pStyle w:val="4"/>
        <w:rPr>
          <w:rFonts w:ascii="Times New Roman" w:cs="Times New Roman"/>
        </w:rPr>
      </w:pPr>
      <w:bookmarkStart w:id="18" w:name="_Toc172042359"/>
      <w:r>
        <w:rPr>
          <w:rFonts w:ascii="Times New Roman" w:cs="Times New Roman"/>
        </w:rPr>
        <w:t>标准要求</w:t>
      </w:r>
      <w:bookmarkEnd w:id="18"/>
    </w:p>
    <w:p w14:paraId="6B6C9305">
      <w:pPr>
        <w:numPr>
          <w:ilvl w:val="0"/>
          <w:numId w:val="3"/>
        </w:numPr>
        <w:rPr>
          <w:b/>
          <w:bCs/>
        </w:rPr>
      </w:pPr>
      <w:r>
        <w:rPr>
          <w:rFonts w:hint="eastAsia"/>
          <w:b/>
          <w:bCs/>
        </w:rPr>
        <w:t>《绿色建筑评价标准》 GB/T 50378-2019（2024年版）</w:t>
      </w:r>
    </w:p>
    <w:p w14:paraId="3F511CD4">
      <w:pPr>
        <w:ind w:left="630" w:leftChars="300"/>
        <w:rPr>
          <w:rFonts w:hint="eastAsia" w:ascii="微软雅黑" w:hAnsi="微软雅黑"/>
        </w:rPr>
      </w:pPr>
      <w:r>
        <w:rPr>
          <w:rFonts w:ascii="微软雅黑" w:hAnsi="微软雅黑"/>
        </w:rPr>
        <w:t xml:space="preserve">8.2.7 </w:t>
      </w:r>
      <w:r>
        <w:rPr>
          <w:rFonts w:hint="eastAsia" w:ascii="微软雅黑" w:hAnsi="微软雅黑"/>
        </w:rPr>
        <w:t>建筑室外照明及显示屏避免产生光污染，评价总分值为10分，并按下列规则分别评分并累计：</w:t>
      </w:r>
    </w:p>
    <w:p w14:paraId="25CBCE27">
      <w:pPr>
        <w:ind w:left="630" w:leftChars="300"/>
        <w:rPr>
          <w:rFonts w:hint="eastAsia" w:ascii="微软雅黑" w:hAnsi="微软雅黑"/>
        </w:rPr>
      </w:pPr>
      <w:r>
        <w:rPr>
          <w:rFonts w:hint="eastAsia" w:ascii="微软雅黑" w:hAnsi="微软雅黑"/>
        </w:rPr>
        <w:t>1 在居住空间窗户外表面产生的垂直照度不大于8.2.7-1规定的最大允许值，得5分。</w:t>
      </w:r>
    </w:p>
    <w:p w14:paraId="16B07F8B">
      <w:pPr>
        <w:ind w:left="420" w:leftChars="200"/>
        <w:jc w:val="center"/>
        <w:rPr>
          <w:rFonts w:hint="eastAsia" w:ascii="微软雅黑" w:hAnsi="微软雅黑"/>
          <w:sz w:val="18"/>
          <w:szCs w:val="18"/>
        </w:rPr>
      </w:pPr>
      <w:r>
        <w:rPr>
          <w:rFonts w:hint="eastAsia" w:ascii="微软雅黑" w:hAnsi="微软雅黑"/>
          <w:sz w:val="18"/>
          <w:szCs w:val="18"/>
        </w:rPr>
        <w:t>表</w:t>
      </w:r>
      <w:r>
        <w:rPr>
          <w:rFonts w:ascii="微软雅黑" w:hAnsi="微软雅黑"/>
          <w:sz w:val="18"/>
          <w:szCs w:val="18"/>
        </w:rPr>
        <w:t xml:space="preserve">1 </w:t>
      </w:r>
      <w:r>
        <w:rPr>
          <w:rFonts w:hint="eastAsia" w:ascii="微软雅黑" w:hAnsi="微软雅黑"/>
          <w:sz w:val="18"/>
          <w:szCs w:val="18"/>
        </w:rPr>
        <w:t>居住空间窗户外表面的垂直照度最大允许值</w:t>
      </w:r>
    </w:p>
    <w:tbl>
      <w:tblPr>
        <w:tblStyle w:val="24"/>
        <w:tblW w:w="839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126"/>
        <w:gridCol w:w="1653"/>
        <w:gridCol w:w="1654"/>
        <w:gridCol w:w="1258"/>
      </w:tblGrid>
      <w:tr w14:paraId="716D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restart"/>
            <w:shd w:val="clear" w:color="auto" w:fill="F2F2F2"/>
            <w:vAlign w:val="center"/>
          </w:tcPr>
          <w:p w14:paraId="0C19B504">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照明技术参数</w:t>
            </w:r>
          </w:p>
        </w:tc>
        <w:tc>
          <w:tcPr>
            <w:tcW w:w="2126" w:type="dxa"/>
            <w:vMerge w:val="restart"/>
            <w:shd w:val="clear" w:color="auto" w:fill="F2F2F2"/>
            <w:vAlign w:val="center"/>
          </w:tcPr>
          <w:p w14:paraId="514212CC">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应用条件</w:t>
            </w:r>
          </w:p>
        </w:tc>
        <w:tc>
          <w:tcPr>
            <w:tcW w:w="4565" w:type="dxa"/>
            <w:gridSpan w:val="3"/>
            <w:shd w:val="clear" w:color="auto" w:fill="F2F2F2"/>
            <w:vAlign w:val="center"/>
          </w:tcPr>
          <w:p w14:paraId="6ED80CB9">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环境区域</w:t>
            </w:r>
          </w:p>
        </w:tc>
      </w:tr>
      <w:tr w14:paraId="1D2D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shd w:val="clear" w:color="auto" w:fill="F2F2F2"/>
            <w:vAlign w:val="center"/>
          </w:tcPr>
          <w:p w14:paraId="00E3CE95">
            <w:pPr>
              <w:widowControl w:val="0"/>
              <w:autoSpaceDE w:val="0"/>
              <w:autoSpaceDN w:val="0"/>
              <w:adjustRightInd w:val="0"/>
              <w:spacing w:line="240" w:lineRule="auto"/>
              <w:jc w:val="center"/>
              <w:rPr>
                <w:rFonts w:hint="eastAsia" w:ascii="微软雅黑" w:hAnsi="微软雅黑"/>
                <w:b/>
                <w:bCs/>
                <w:sz w:val="18"/>
                <w:szCs w:val="18"/>
                <w:lang w:val="zh-CN"/>
              </w:rPr>
            </w:pPr>
          </w:p>
        </w:tc>
        <w:tc>
          <w:tcPr>
            <w:tcW w:w="2126" w:type="dxa"/>
            <w:vMerge w:val="continue"/>
            <w:shd w:val="clear" w:color="auto" w:fill="F2F2F2"/>
            <w:vAlign w:val="center"/>
          </w:tcPr>
          <w:p w14:paraId="3E78DECE">
            <w:pPr>
              <w:widowControl w:val="0"/>
              <w:autoSpaceDE w:val="0"/>
              <w:autoSpaceDN w:val="0"/>
              <w:adjustRightInd w:val="0"/>
              <w:spacing w:line="240" w:lineRule="auto"/>
              <w:jc w:val="center"/>
              <w:rPr>
                <w:rFonts w:hint="eastAsia" w:ascii="微软雅黑" w:hAnsi="微软雅黑"/>
                <w:b/>
                <w:bCs/>
                <w:sz w:val="18"/>
                <w:szCs w:val="18"/>
                <w:lang w:val="zh-CN"/>
              </w:rPr>
            </w:pPr>
          </w:p>
        </w:tc>
        <w:tc>
          <w:tcPr>
            <w:tcW w:w="1653" w:type="dxa"/>
            <w:shd w:val="clear" w:color="auto" w:fill="F2F2F2"/>
            <w:vAlign w:val="center"/>
          </w:tcPr>
          <w:p w14:paraId="3E0852EA">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E2</w:t>
            </w:r>
          </w:p>
        </w:tc>
        <w:tc>
          <w:tcPr>
            <w:tcW w:w="1654" w:type="dxa"/>
            <w:shd w:val="clear" w:color="auto" w:fill="F2F2F2"/>
            <w:vAlign w:val="center"/>
          </w:tcPr>
          <w:p w14:paraId="6061A449">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E3</w:t>
            </w:r>
          </w:p>
        </w:tc>
        <w:tc>
          <w:tcPr>
            <w:tcW w:w="1258" w:type="dxa"/>
            <w:shd w:val="clear" w:color="auto" w:fill="F2F2F2"/>
            <w:vAlign w:val="center"/>
          </w:tcPr>
          <w:p w14:paraId="1CE87716">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E4</w:t>
            </w:r>
          </w:p>
        </w:tc>
      </w:tr>
      <w:tr w14:paraId="12C9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restart"/>
            <w:shd w:val="clear" w:color="auto" w:fill="auto"/>
            <w:vAlign w:val="center"/>
          </w:tcPr>
          <w:p w14:paraId="6F590F06">
            <w:pPr>
              <w:widowControl w:val="0"/>
              <w:autoSpaceDE w:val="0"/>
              <w:autoSpaceDN w:val="0"/>
              <w:adjustRightInd w:val="0"/>
              <w:spacing w:line="240" w:lineRule="auto"/>
              <w:jc w:val="center"/>
              <w:rPr>
                <w:rFonts w:hint="eastAsia" w:ascii="微软雅黑" w:hAnsi="微软雅黑"/>
                <w:sz w:val="18"/>
                <w:szCs w:val="18"/>
              </w:rPr>
            </w:pPr>
            <w:r>
              <w:rPr>
                <w:rFonts w:hint="eastAsia" w:ascii="微软雅黑" w:hAnsi="微软雅黑"/>
                <w:sz w:val="18"/>
                <w:szCs w:val="18"/>
                <w:lang w:val="zh-CN"/>
              </w:rPr>
              <w:t>垂直面照度</w:t>
            </w:r>
          </w:p>
          <w:p w14:paraId="46A2564F">
            <w:pPr>
              <w:widowControl w:val="0"/>
              <w:autoSpaceDE w:val="0"/>
              <w:autoSpaceDN w:val="0"/>
              <w:adjustRightInd w:val="0"/>
              <w:spacing w:line="240" w:lineRule="auto"/>
              <w:jc w:val="center"/>
              <w:rPr>
                <w:rFonts w:hint="eastAsia" w:ascii="微软雅黑" w:hAnsi="微软雅黑"/>
                <w:sz w:val="18"/>
                <w:szCs w:val="18"/>
              </w:rPr>
            </w:pPr>
            <w:r>
              <w:rPr>
                <w:rFonts w:hint="eastAsia" w:ascii="微软雅黑" w:hAnsi="微软雅黑"/>
                <w:sz w:val="18"/>
                <w:szCs w:val="18"/>
              </w:rPr>
              <w:t>Ev（lx）</w:t>
            </w:r>
          </w:p>
        </w:tc>
        <w:tc>
          <w:tcPr>
            <w:tcW w:w="2126" w:type="dxa"/>
            <w:shd w:val="clear" w:color="auto" w:fill="auto"/>
            <w:vAlign w:val="center"/>
          </w:tcPr>
          <w:p w14:paraId="5CD5FBB9">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非熄灯时段</w:t>
            </w:r>
          </w:p>
        </w:tc>
        <w:tc>
          <w:tcPr>
            <w:tcW w:w="1653" w:type="dxa"/>
            <w:shd w:val="clear" w:color="auto" w:fill="auto"/>
            <w:vAlign w:val="center"/>
          </w:tcPr>
          <w:p w14:paraId="1826DF0C">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2</w:t>
            </w:r>
          </w:p>
        </w:tc>
        <w:tc>
          <w:tcPr>
            <w:tcW w:w="1654" w:type="dxa"/>
            <w:shd w:val="clear" w:color="auto" w:fill="auto"/>
            <w:vAlign w:val="center"/>
          </w:tcPr>
          <w:p w14:paraId="264785FC">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5</w:t>
            </w:r>
          </w:p>
        </w:tc>
        <w:tc>
          <w:tcPr>
            <w:tcW w:w="1258" w:type="dxa"/>
            <w:shd w:val="clear" w:color="auto" w:fill="auto"/>
            <w:vAlign w:val="center"/>
          </w:tcPr>
          <w:p w14:paraId="20EBD7FC">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10</w:t>
            </w:r>
          </w:p>
        </w:tc>
      </w:tr>
      <w:tr w14:paraId="3D0F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shd w:val="clear" w:color="auto" w:fill="auto"/>
            <w:vAlign w:val="center"/>
          </w:tcPr>
          <w:p w14:paraId="5CB1224B">
            <w:pPr>
              <w:widowControl w:val="0"/>
              <w:autoSpaceDE w:val="0"/>
              <w:autoSpaceDN w:val="0"/>
              <w:adjustRightInd w:val="0"/>
              <w:spacing w:line="240" w:lineRule="auto"/>
              <w:jc w:val="center"/>
              <w:rPr>
                <w:rFonts w:hint="eastAsia" w:ascii="微软雅黑" w:hAnsi="微软雅黑"/>
                <w:sz w:val="18"/>
                <w:szCs w:val="18"/>
                <w:lang w:val="zh-CN"/>
              </w:rPr>
            </w:pPr>
          </w:p>
        </w:tc>
        <w:tc>
          <w:tcPr>
            <w:tcW w:w="2126" w:type="dxa"/>
            <w:shd w:val="clear" w:color="auto" w:fill="auto"/>
            <w:vAlign w:val="center"/>
          </w:tcPr>
          <w:p w14:paraId="127D8EE9">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熄灯时段</w:t>
            </w:r>
          </w:p>
        </w:tc>
        <w:tc>
          <w:tcPr>
            <w:tcW w:w="1653" w:type="dxa"/>
            <w:shd w:val="clear" w:color="auto" w:fill="auto"/>
            <w:vAlign w:val="center"/>
          </w:tcPr>
          <w:p w14:paraId="75E03730">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0*</w:t>
            </w:r>
          </w:p>
        </w:tc>
        <w:tc>
          <w:tcPr>
            <w:tcW w:w="1654" w:type="dxa"/>
            <w:shd w:val="clear" w:color="auto" w:fill="auto"/>
            <w:vAlign w:val="center"/>
          </w:tcPr>
          <w:p w14:paraId="35B235A2">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1</w:t>
            </w:r>
          </w:p>
        </w:tc>
        <w:tc>
          <w:tcPr>
            <w:tcW w:w="1258" w:type="dxa"/>
            <w:shd w:val="clear" w:color="auto" w:fill="auto"/>
            <w:vAlign w:val="center"/>
          </w:tcPr>
          <w:p w14:paraId="10C051CF">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2</w:t>
            </w:r>
          </w:p>
        </w:tc>
      </w:tr>
    </w:tbl>
    <w:p w14:paraId="0AC03D08">
      <w:pPr>
        <w:ind w:left="420" w:leftChars="200" w:firstLine="180" w:firstLineChars="100"/>
        <w:rPr>
          <w:rFonts w:hint="eastAsia" w:ascii="微软雅黑" w:hAnsi="微软雅黑"/>
        </w:rPr>
      </w:pPr>
      <w:r>
        <w:rPr>
          <w:rFonts w:hint="eastAsia"/>
          <w:sz w:val="18"/>
          <w:szCs w:val="18"/>
        </w:rPr>
        <w:t>注：</w:t>
      </w:r>
      <w:r>
        <w:rPr>
          <w:sz w:val="18"/>
          <w:szCs w:val="18"/>
        </w:rPr>
        <w:t>*</w:t>
      </w:r>
      <w:r>
        <w:rPr>
          <w:rFonts w:hint="eastAsia"/>
          <w:sz w:val="18"/>
          <w:szCs w:val="18"/>
        </w:rPr>
        <w:t>对于公共（道路）照明灯具产生的影响，此值提高到</w:t>
      </w:r>
      <w:r>
        <w:rPr>
          <w:sz w:val="18"/>
          <w:szCs w:val="18"/>
        </w:rPr>
        <w:t>1 lx</w:t>
      </w:r>
      <w:r>
        <w:rPr>
          <w:rFonts w:hint="eastAsia"/>
          <w:sz w:val="18"/>
          <w:szCs w:val="18"/>
        </w:rPr>
        <w:t>。</w:t>
      </w:r>
    </w:p>
    <w:p w14:paraId="0BF20113">
      <w:pPr>
        <w:ind w:left="630" w:leftChars="300"/>
        <w:rPr>
          <w:sz w:val="23"/>
          <w:szCs w:val="23"/>
        </w:rPr>
      </w:pPr>
    </w:p>
    <w:p w14:paraId="5E1FECF9">
      <w:pPr>
        <w:ind w:left="630" w:leftChars="300"/>
        <w:rPr>
          <w:rFonts w:hint="eastAsia" w:ascii="微软雅黑" w:hAnsi="微软雅黑"/>
        </w:rPr>
      </w:pPr>
      <w:r>
        <w:rPr>
          <w:rFonts w:ascii="微软雅黑" w:hAnsi="微软雅黑"/>
        </w:rPr>
        <w:t xml:space="preserve">2 </w:t>
      </w:r>
      <w:r>
        <w:rPr>
          <w:rFonts w:hint="eastAsia" w:ascii="微软雅黑" w:hAnsi="微软雅黑"/>
        </w:rPr>
        <w:t>建筑室外设置的显示屏表面平均亮度不大于表</w:t>
      </w:r>
      <w:r>
        <w:rPr>
          <w:rFonts w:ascii="微软雅黑" w:hAnsi="微软雅黑"/>
        </w:rPr>
        <w:t>8.2.7-2</w:t>
      </w:r>
      <w:r>
        <w:rPr>
          <w:rFonts w:hint="eastAsia" w:ascii="微软雅黑" w:hAnsi="微软雅黑"/>
        </w:rPr>
        <w:t>的规定，且车道和人行道两侧未设置动态模式显示屏，得</w:t>
      </w:r>
      <w:r>
        <w:rPr>
          <w:rFonts w:ascii="微软雅黑" w:hAnsi="微软雅黑"/>
        </w:rPr>
        <w:t>5</w:t>
      </w:r>
      <w:r>
        <w:rPr>
          <w:rFonts w:hint="eastAsia" w:ascii="微软雅黑" w:hAnsi="微软雅黑"/>
        </w:rPr>
        <w:t>分。</w:t>
      </w:r>
    </w:p>
    <w:p w14:paraId="09D2F9B5">
      <w:pPr>
        <w:spacing w:before="240"/>
        <w:ind w:left="420" w:leftChars="200"/>
        <w:jc w:val="center"/>
        <w:rPr>
          <w:rFonts w:hint="eastAsia" w:ascii="微软雅黑" w:hAnsi="微软雅黑"/>
        </w:rPr>
      </w:pPr>
      <w:r>
        <w:rPr>
          <w:rFonts w:hint="eastAsia" w:ascii="微软雅黑" w:hAnsi="微软雅黑"/>
          <w:sz w:val="18"/>
          <w:szCs w:val="18"/>
        </w:rPr>
        <w:t>表</w:t>
      </w:r>
      <w:r>
        <w:rPr>
          <w:rFonts w:ascii="微软雅黑" w:hAnsi="微软雅黑"/>
          <w:sz w:val="18"/>
          <w:szCs w:val="18"/>
        </w:rPr>
        <w:t xml:space="preserve">2 </w:t>
      </w:r>
      <w:r>
        <w:rPr>
          <w:rFonts w:hint="eastAsia" w:ascii="微软雅黑" w:hAnsi="微软雅黑"/>
          <w:sz w:val="18"/>
          <w:szCs w:val="18"/>
        </w:rPr>
        <w:t>显示屏表面平均亮度限值</w:t>
      </w:r>
    </w:p>
    <w:tbl>
      <w:tblPr>
        <w:tblStyle w:val="24"/>
        <w:tblW w:w="839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1"/>
        <w:gridCol w:w="2192"/>
        <w:gridCol w:w="2362"/>
        <w:gridCol w:w="1967"/>
      </w:tblGrid>
      <w:tr w14:paraId="0210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restart"/>
            <w:shd w:val="clear" w:color="auto" w:fill="F2F2F2"/>
            <w:vAlign w:val="center"/>
          </w:tcPr>
          <w:p w14:paraId="7DC241C8">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照明技术参数</w:t>
            </w:r>
          </w:p>
        </w:tc>
        <w:tc>
          <w:tcPr>
            <w:tcW w:w="6521" w:type="dxa"/>
            <w:gridSpan w:val="3"/>
            <w:shd w:val="clear" w:color="auto" w:fill="F2F2F2"/>
            <w:vAlign w:val="center"/>
          </w:tcPr>
          <w:p w14:paraId="20629C3B">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环境区域</w:t>
            </w:r>
          </w:p>
        </w:tc>
      </w:tr>
      <w:tr w14:paraId="36D7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continue"/>
            <w:shd w:val="clear" w:color="auto" w:fill="auto"/>
            <w:vAlign w:val="center"/>
          </w:tcPr>
          <w:p w14:paraId="4464CB51">
            <w:pPr>
              <w:widowControl w:val="0"/>
              <w:autoSpaceDE w:val="0"/>
              <w:autoSpaceDN w:val="0"/>
              <w:adjustRightInd w:val="0"/>
              <w:spacing w:line="240" w:lineRule="auto"/>
              <w:jc w:val="center"/>
              <w:rPr>
                <w:rFonts w:hint="eastAsia" w:ascii="微软雅黑" w:hAnsi="微软雅黑"/>
                <w:sz w:val="18"/>
                <w:szCs w:val="18"/>
                <w:lang w:val="zh-CN"/>
              </w:rPr>
            </w:pPr>
          </w:p>
        </w:tc>
        <w:tc>
          <w:tcPr>
            <w:tcW w:w="2192" w:type="dxa"/>
            <w:shd w:val="clear" w:color="auto" w:fill="F2F2F2"/>
            <w:vAlign w:val="center"/>
          </w:tcPr>
          <w:p w14:paraId="69D8AA22">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E2</w:t>
            </w:r>
          </w:p>
        </w:tc>
        <w:tc>
          <w:tcPr>
            <w:tcW w:w="2362" w:type="dxa"/>
            <w:shd w:val="clear" w:color="auto" w:fill="F2F2F2"/>
            <w:vAlign w:val="center"/>
          </w:tcPr>
          <w:p w14:paraId="3803C4AD">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E3</w:t>
            </w:r>
          </w:p>
        </w:tc>
        <w:tc>
          <w:tcPr>
            <w:tcW w:w="1967" w:type="dxa"/>
            <w:shd w:val="clear" w:color="auto" w:fill="F2F2F2"/>
            <w:vAlign w:val="center"/>
          </w:tcPr>
          <w:p w14:paraId="039CF106">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E4</w:t>
            </w:r>
          </w:p>
        </w:tc>
      </w:tr>
      <w:tr w14:paraId="7818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shd w:val="clear" w:color="auto" w:fill="auto"/>
            <w:vAlign w:val="center"/>
          </w:tcPr>
          <w:p w14:paraId="78FDF52A">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平均亮度（cd/m</w:t>
            </w:r>
            <w:r>
              <w:rPr>
                <w:rFonts w:hint="eastAsia" w:ascii="微软雅黑" w:hAnsi="微软雅黑"/>
                <w:sz w:val="18"/>
                <w:szCs w:val="18"/>
                <w:vertAlign w:val="superscript"/>
                <w:lang w:val="zh-CN"/>
              </w:rPr>
              <w:t>2</w:t>
            </w:r>
            <w:r>
              <w:rPr>
                <w:rFonts w:hint="eastAsia" w:ascii="微软雅黑" w:hAnsi="微软雅黑"/>
                <w:sz w:val="18"/>
                <w:szCs w:val="18"/>
                <w:lang w:val="zh-CN"/>
              </w:rPr>
              <w:t>）</w:t>
            </w:r>
          </w:p>
        </w:tc>
        <w:tc>
          <w:tcPr>
            <w:tcW w:w="2192" w:type="dxa"/>
            <w:shd w:val="clear" w:color="auto" w:fill="auto"/>
            <w:vAlign w:val="center"/>
          </w:tcPr>
          <w:p w14:paraId="41B336E2">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200</w:t>
            </w:r>
          </w:p>
        </w:tc>
        <w:tc>
          <w:tcPr>
            <w:tcW w:w="2362" w:type="dxa"/>
            <w:shd w:val="clear" w:color="auto" w:fill="auto"/>
            <w:vAlign w:val="center"/>
          </w:tcPr>
          <w:p w14:paraId="134D41DD">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400</w:t>
            </w:r>
          </w:p>
        </w:tc>
        <w:tc>
          <w:tcPr>
            <w:tcW w:w="1967" w:type="dxa"/>
            <w:shd w:val="clear" w:color="auto" w:fill="auto"/>
            <w:vAlign w:val="center"/>
          </w:tcPr>
          <w:p w14:paraId="15E472E3">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600</w:t>
            </w:r>
          </w:p>
        </w:tc>
      </w:tr>
    </w:tbl>
    <w:p w14:paraId="4F933AF7">
      <w:pPr>
        <w:ind w:left="420" w:leftChars="200" w:firstLine="420" w:firstLineChars="200"/>
        <w:rPr>
          <w:szCs w:val="21"/>
        </w:rPr>
      </w:pPr>
    </w:p>
    <w:p w14:paraId="5E49F88F">
      <w:pPr>
        <w:ind w:left="420" w:leftChars="200" w:firstLine="420" w:firstLineChars="200"/>
        <w:rPr>
          <w:szCs w:val="21"/>
        </w:rPr>
      </w:pPr>
      <w:r>
        <w:rPr>
          <w:rFonts w:hint="eastAsia"/>
          <w:szCs w:val="21"/>
        </w:rPr>
        <w:t>条文中对环境区域划分依据国家标准《室外照明干扰光限制规范》</w:t>
      </w:r>
      <w:r>
        <w:rPr>
          <w:szCs w:val="21"/>
        </w:rPr>
        <w:t>GB/T35626-2017</w:t>
      </w:r>
      <w:r>
        <w:rPr>
          <w:rFonts w:hint="eastAsia"/>
          <w:szCs w:val="21"/>
        </w:rPr>
        <w:t>和行业标准《城市夜景照明设计规范》</w:t>
      </w:r>
      <w:r>
        <w:rPr>
          <w:szCs w:val="21"/>
        </w:rPr>
        <w:t>JGJ/T163-2008</w:t>
      </w:r>
      <w:r>
        <w:rPr>
          <w:rFonts w:hint="eastAsia"/>
          <w:szCs w:val="21"/>
        </w:rPr>
        <w:t>，具体见下表：</w:t>
      </w:r>
    </w:p>
    <w:p w14:paraId="56D17631">
      <w:pPr>
        <w:ind w:left="420" w:leftChars="200"/>
        <w:jc w:val="center"/>
        <w:rPr>
          <w:rFonts w:hint="eastAsia" w:ascii="微软雅黑" w:hAnsi="微软雅黑"/>
          <w:sz w:val="18"/>
          <w:szCs w:val="18"/>
        </w:rPr>
      </w:pPr>
      <w:r>
        <w:rPr>
          <w:rFonts w:hint="eastAsia" w:ascii="微软雅黑" w:hAnsi="微软雅黑"/>
          <w:sz w:val="18"/>
          <w:szCs w:val="18"/>
        </w:rPr>
        <w:t>表3 城市环境亮度区域划分</w:t>
      </w:r>
    </w:p>
    <w:tbl>
      <w:tblPr>
        <w:tblStyle w:val="24"/>
        <w:tblW w:w="850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976"/>
        <w:gridCol w:w="3823"/>
      </w:tblGrid>
      <w:tr w14:paraId="4AE9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shd w:val="clear" w:color="auto" w:fill="F2F2F2"/>
            <w:vAlign w:val="center"/>
          </w:tcPr>
          <w:p w14:paraId="3CB01363">
            <w:pPr>
              <w:spacing w:line="240" w:lineRule="auto"/>
              <w:jc w:val="center"/>
              <w:rPr>
                <w:rFonts w:hint="eastAsia" w:ascii="微软雅黑" w:hAnsi="微软雅黑"/>
                <w:b/>
                <w:bCs/>
                <w:sz w:val="18"/>
                <w:szCs w:val="18"/>
                <w:lang w:val="en-US"/>
              </w:rPr>
            </w:pPr>
            <w:r>
              <w:rPr>
                <w:rFonts w:hint="eastAsia" w:ascii="微软雅黑" w:hAnsi="微软雅黑"/>
                <w:b/>
                <w:bCs/>
                <w:sz w:val="18"/>
                <w:szCs w:val="18"/>
                <w:lang w:val="en-US"/>
              </w:rPr>
              <w:t>编号</w:t>
            </w:r>
          </w:p>
        </w:tc>
        <w:tc>
          <w:tcPr>
            <w:tcW w:w="2976" w:type="dxa"/>
            <w:tcBorders>
              <w:top w:val="single" w:color="auto" w:sz="4" w:space="0"/>
              <w:left w:val="single" w:color="auto" w:sz="4" w:space="0"/>
              <w:bottom w:val="single" w:color="auto" w:sz="4" w:space="0"/>
              <w:right w:val="single" w:color="auto" w:sz="4" w:space="0"/>
            </w:tcBorders>
            <w:shd w:val="clear" w:color="auto" w:fill="F2F2F2"/>
            <w:vAlign w:val="center"/>
          </w:tcPr>
          <w:p w14:paraId="49E491C9">
            <w:pPr>
              <w:spacing w:line="240" w:lineRule="auto"/>
              <w:jc w:val="center"/>
              <w:rPr>
                <w:rFonts w:hint="eastAsia" w:ascii="微软雅黑" w:hAnsi="微软雅黑"/>
                <w:b/>
                <w:bCs/>
                <w:sz w:val="18"/>
                <w:szCs w:val="18"/>
                <w:lang w:val="en-US"/>
              </w:rPr>
            </w:pPr>
            <w:r>
              <w:rPr>
                <w:rFonts w:hint="eastAsia" w:ascii="微软雅黑" w:hAnsi="微软雅黑"/>
                <w:b/>
                <w:bCs/>
                <w:sz w:val="18"/>
                <w:szCs w:val="18"/>
                <w:lang w:val="en-US"/>
              </w:rPr>
              <w:t>区域说明</w:t>
            </w:r>
          </w:p>
        </w:tc>
        <w:tc>
          <w:tcPr>
            <w:tcW w:w="3823" w:type="dxa"/>
            <w:tcBorders>
              <w:top w:val="single" w:color="auto" w:sz="4" w:space="0"/>
              <w:left w:val="single" w:color="auto" w:sz="4" w:space="0"/>
              <w:bottom w:val="single" w:color="auto" w:sz="4" w:space="0"/>
              <w:right w:val="single" w:color="auto" w:sz="4" w:space="0"/>
            </w:tcBorders>
            <w:shd w:val="clear" w:color="auto" w:fill="F2F2F2"/>
            <w:vAlign w:val="center"/>
          </w:tcPr>
          <w:p w14:paraId="60B9972C">
            <w:pPr>
              <w:spacing w:line="240" w:lineRule="auto"/>
              <w:jc w:val="center"/>
              <w:rPr>
                <w:rFonts w:hint="eastAsia" w:ascii="微软雅黑" w:hAnsi="微软雅黑"/>
                <w:b/>
                <w:bCs/>
                <w:sz w:val="18"/>
                <w:szCs w:val="18"/>
                <w:lang w:val="en-US"/>
              </w:rPr>
            </w:pPr>
            <w:r>
              <w:rPr>
                <w:rFonts w:hint="eastAsia" w:ascii="微软雅黑" w:hAnsi="微软雅黑"/>
                <w:b/>
                <w:bCs/>
                <w:sz w:val="18"/>
                <w:szCs w:val="18"/>
                <w:lang w:val="en-US"/>
              </w:rPr>
              <w:t>示例</w:t>
            </w:r>
          </w:p>
        </w:tc>
      </w:tr>
      <w:tr w14:paraId="6844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74462009">
            <w:pPr>
              <w:spacing w:line="240" w:lineRule="auto"/>
              <w:jc w:val="center"/>
              <w:rPr>
                <w:rFonts w:hint="eastAsia" w:ascii="微软雅黑" w:hAnsi="微软雅黑"/>
                <w:sz w:val="18"/>
                <w:szCs w:val="18"/>
                <w:lang w:val="en-US"/>
              </w:rPr>
            </w:pPr>
            <w:r>
              <w:rPr>
                <w:rFonts w:hint="eastAsia" w:ascii="微软雅黑" w:hAnsi="微软雅黑"/>
                <w:sz w:val="18"/>
                <w:szCs w:val="18"/>
                <w:lang w:val="en-US"/>
              </w:rPr>
              <w:t>E0</w:t>
            </w:r>
          </w:p>
        </w:tc>
        <w:tc>
          <w:tcPr>
            <w:tcW w:w="2976" w:type="dxa"/>
            <w:tcBorders>
              <w:top w:val="single" w:color="auto" w:sz="4" w:space="0"/>
              <w:left w:val="single" w:color="auto" w:sz="4" w:space="0"/>
              <w:bottom w:val="single" w:color="auto" w:sz="4" w:space="0"/>
              <w:right w:val="single" w:color="auto" w:sz="4" w:space="0"/>
            </w:tcBorders>
            <w:vAlign w:val="center"/>
          </w:tcPr>
          <w:p w14:paraId="4147F128">
            <w:pPr>
              <w:spacing w:line="240" w:lineRule="auto"/>
              <w:jc w:val="center"/>
              <w:rPr>
                <w:rFonts w:hint="eastAsia" w:ascii="微软雅黑" w:hAnsi="微软雅黑"/>
                <w:sz w:val="18"/>
                <w:szCs w:val="18"/>
                <w:lang w:val="en-US"/>
              </w:rPr>
            </w:pPr>
            <w:r>
              <w:rPr>
                <w:rFonts w:hint="eastAsia" w:ascii="微软雅黑" w:hAnsi="微软雅黑"/>
                <w:sz w:val="18"/>
                <w:szCs w:val="18"/>
              </w:rPr>
              <w:t>天然暗环境区</w:t>
            </w:r>
          </w:p>
        </w:tc>
        <w:tc>
          <w:tcPr>
            <w:tcW w:w="3823" w:type="dxa"/>
            <w:tcBorders>
              <w:top w:val="single" w:color="auto" w:sz="4" w:space="0"/>
              <w:left w:val="single" w:color="auto" w:sz="4" w:space="0"/>
              <w:bottom w:val="single" w:color="auto" w:sz="4" w:space="0"/>
              <w:right w:val="single" w:color="auto" w:sz="4" w:space="0"/>
            </w:tcBorders>
            <w:vAlign w:val="center"/>
          </w:tcPr>
          <w:p w14:paraId="7FFB56FB">
            <w:pPr>
              <w:spacing w:line="240" w:lineRule="auto"/>
              <w:jc w:val="center"/>
              <w:rPr>
                <w:rFonts w:hint="eastAsia" w:ascii="微软雅黑" w:hAnsi="微软雅黑"/>
                <w:sz w:val="18"/>
                <w:szCs w:val="18"/>
              </w:rPr>
            </w:pPr>
            <w:r>
              <w:rPr>
                <w:rFonts w:hint="eastAsia" w:ascii="微软雅黑" w:hAnsi="微软雅黑"/>
                <w:sz w:val="18"/>
                <w:szCs w:val="18"/>
              </w:rPr>
              <w:t>国家公园、自然保护区和天文台所在地区等</w:t>
            </w:r>
          </w:p>
        </w:tc>
      </w:tr>
      <w:tr w14:paraId="3703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341FDC9B">
            <w:pPr>
              <w:spacing w:line="240" w:lineRule="auto"/>
              <w:jc w:val="center"/>
              <w:rPr>
                <w:rFonts w:hint="eastAsia" w:ascii="微软雅黑" w:hAnsi="微软雅黑"/>
                <w:sz w:val="18"/>
                <w:szCs w:val="18"/>
                <w:lang w:val="en-US"/>
              </w:rPr>
            </w:pPr>
            <w:r>
              <w:rPr>
                <w:rFonts w:hint="eastAsia" w:ascii="微软雅黑" w:hAnsi="微软雅黑"/>
                <w:sz w:val="18"/>
                <w:szCs w:val="18"/>
              </w:rPr>
              <w:t>E1</w:t>
            </w:r>
          </w:p>
        </w:tc>
        <w:tc>
          <w:tcPr>
            <w:tcW w:w="2976" w:type="dxa"/>
            <w:tcBorders>
              <w:top w:val="single" w:color="auto" w:sz="4" w:space="0"/>
              <w:left w:val="single" w:color="auto" w:sz="4" w:space="0"/>
              <w:bottom w:val="single" w:color="auto" w:sz="4" w:space="0"/>
              <w:right w:val="single" w:color="auto" w:sz="4" w:space="0"/>
            </w:tcBorders>
            <w:vAlign w:val="center"/>
          </w:tcPr>
          <w:p w14:paraId="455F0744">
            <w:pPr>
              <w:spacing w:line="240" w:lineRule="auto"/>
              <w:jc w:val="center"/>
              <w:rPr>
                <w:rFonts w:hint="eastAsia" w:ascii="微软雅黑" w:hAnsi="微软雅黑"/>
                <w:sz w:val="18"/>
                <w:szCs w:val="18"/>
                <w:lang w:val="en-US"/>
              </w:rPr>
            </w:pPr>
            <w:r>
              <w:rPr>
                <w:rFonts w:hint="eastAsia" w:ascii="微软雅黑" w:hAnsi="微软雅黑"/>
                <w:sz w:val="18"/>
                <w:szCs w:val="18"/>
              </w:rPr>
              <w:t>暗环境区</w:t>
            </w:r>
          </w:p>
        </w:tc>
        <w:tc>
          <w:tcPr>
            <w:tcW w:w="3823" w:type="dxa"/>
            <w:tcBorders>
              <w:top w:val="single" w:color="auto" w:sz="4" w:space="0"/>
              <w:left w:val="single" w:color="auto" w:sz="4" w:space="0"/>
              <w:bottom w:val="single" w:color="auto" w:sz="4" w:space="0"/>
              <w:right w:val="single" w:color="auto" w:sz="4" w:space="0"/>
            </w:tcBorders>
            <w:vAlign w:val="center"/>
          </w:tcPr>
          <w:p w14:paraId="69A69730">
            <w:pPr>
              <w:spacing w:line="240" w:lineRule="auto"/>
              <w:jc w:val="center"/>
              <w:rPr>
                <w:rFonts w:hint="eastAsia" w:ascii="微软雅黑" w:hAnsi="微软雅黑"/>
                <w:sz w:val="18"/>
                <w:szCs w:val="18"/>
                <w:lang w:val="en-US"/>
              </w:rPr>
            </w:pPr>
            <w:r>
              <w:rPr>
                <w:rFonts w:hint="eastAsia" w:ascii="微软雅黑" w:hAnsi="微软雅黑"/>
                <w:sz w:val="18"/>
                <w:szCs w:val="18"/>
              </w:rPr>
              <w:t>无人居住的乡村地区等</w:t>
            </w:r>
          </w:p>
        </w:tc>
      </w:tr>
      <w:tr w14:paraId="2AAA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09C9AF9C">
            <w:pPr>
              <w:spacing w:line="240" w:lineRule="auto"/>
              <w:jc w:val="center"/>
              <w:rPr>
                <w:rFonts w:hint="eastAsia" w:ascii="微软雅黑" w:hAnsi="微软雅黑"/>
                <w:sz w:val="18"/>
                <w:szCs w:val="18"/>
                <w:lang w:val="en-US"/>
              </w:rPr>
            </w:pPr>
            <w:r>
              <w:rPr>
                <w:rFonts w:hint="eastAsia" w:ascii="微软雅黑" w:hAnsi="微软雅黑"/>
                <w:sz w:val="18"/>
                <w:szCs w:val="18"/>
              </w:rPr>
              <w:t>E2</w:t>
            </w:r>
          </w:p>
        </w:tc>
        <w:tc>
          <w:tcPr>
            <w:tcW w:w="2976" w:type="dxa"/>
            <w:tcBorders>
              <w:top w:val="single" w:color="auto" w:sz="4" w:space="0"/>
              <w:left w:val="single" w:color="auto" w:sz="4" w:space="0"/>
              <w:bottom w:val="single" w:color="auto" w:sz="4" w:space="0"/>
              <w:right w:val="single" w:color="auto" w:sz="4" w:space="0"/>
            </w:tcBorders>
            <w:vAlign w:val="center"/>
          </w:tcPr>
          <w:p w14:paraId="1962A3C7">
            <w:pPr>
              <w:spacing w:line="240" w:lineRule="auto"/>
              <w:jc w:val="center"/>
              <w:rPr>
                <w:rFonts w:hint="eastAsia" w:ascii="微软雅黑" w:hAnsi="微软雅黑"/>
                <w:sz w:val="18"/>
                <w:szCs w:val="18"/>
                <w:lang w:val="en-US"/>
              </w:rPr>
            </w:pPr>
            <w:r>
              <w:rPr>
                <w:rFonts w:hint="eastAsia" w:ascii="微软雅黑" w:hAnsi="微软雅黑"/>
                <w:sz w:val="18"/>
                <w:szCs w:val="18"/>
              </w:rPr>
              <w:t>低亮度环境区</w:t>
            </w:r>
          </w:p>
        </w:tc>
        <w:tc>
          <w:tcPr>
            <w:tcW w:w="3823" w:type="dxa"/>
            <w:tcBorders>
              <w:top w:val="single" w:color="auto" w:sz="4" w:space="0"/>
              <w:left w:val="single" w:color="auto" w:sz="4" w:space="0"/>
              <w:bottom w:val="single" w:color="auto" w:sz="4" w:space="0"/>
              <w:right w:val="single" w:color="auto" w:sz="4" w:space="0"/>
            </w:tcBorders>
            <w:vAlign w:val="center"/>
          </w:tcPr>
          <w:p w14:paraId="7831D44B">
            <w:pPr>
              <w:spacing w:line="240" w:lineRule="auto"/>
              <w:jc w:val="center"/>
              <w:rPr>
                <w:rFonts w:hint="eastAsia" w:ascii="微软雅黑" w:hAnsi="微软雅黑"/>
                <w:sz w:val="18"/>
                <w:szCs w:val="18"/>
                <w:lang w:val="en-US"/>
              </w:rPr>
            </w:pPr>
            <w:r>
              <w:rPr>
                <w:rFonts w:hint="eastAsia" w:ascii="微软雅黑" w:hAnsi="微软雅黑"/>
                <w:sz w:val="18"/>
                <w:szCs w:val="18"/>
              </w:rPr>
              <w:t>低密度乡村居住区等</w:t>
            </w:r>
          </w:p>
        </w:tc>
      </w:tr>
      <w:tr w14:paraId="4A5C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5F981637">
            <w:pPr>
              <w:spacing w:line="240" w:lineRule="auto"/>
              <w:jc w:val="center"/>
              <w:rPr>
                <w:rFonts w:hint="eastAsia" w:ascii="微软雅黑" w:hAnsi="微软雅黑"/>
                <w:sz w:val="18"/>
                <w:szCs w:val="18"/>
                <w:lang w:val="en-US"/>
              </w:rPr>
            </w:pPr>
            <w:r>
              <w:rPr>
                <w:rFonts w:hint="eastAsia" w:ascii="微软雅黑" w:hAnsi="微软雅黑"/>
                <w:sz w:val="18"/>
                <w:szCs w:val="18"/>
              </w:rPr>
              <w:t>E3</w:t>
            </w:r>
          </w:p>
        </w:tc>
        <w:tc>
          <w:tcPr>
            <w:tcW w:w="2976" w:type="dxa"/>
            <w:tcBorders>
              <w:top w:val="single" w:color="auto" w:sz="4" w:space="0"/>
              <w:left w:val="single" w:color="auto" w:sz="4" w:space="0"/>
              <w:bottom w:val="single" w:color="auto" w:sz="4" w:space="0"/>
              <w:right w:val="single" w:color="auto" w:sz="4" w:space="0"/>
            </w:tcBorders>
            <w:vAlign w:val="center"/>
          </w:tcPr>
          <w:p w14:paraId="6899331D">
            <w:pPr>
              <w:spacing w:line="240" w:lineRule="auto"/>
              <w:jc w:val="center"/>
              <w:rPr>
                <w:rFonts w:hint="eastAsia" w:ascii="微软雅黑" w:hAnsi="微软雅黑"/>
                <w:sz w:val="18"/>
                <w:szCs w:val="18"/>
                <w:lang w:val="en-US"/>
              </w:rPr>
            </w:pPr>
            <w:r>
              <w:rPr>
                <w:rFonts w:hint="eastAsia" w:ascii="微软雅黑" w:hAnsi="微软雅黑"/>
                <w:sz w:val="18"/>
                <w:szCs w:val="18"/>
              </w:rPr>
              <w:t>中等亮度环境区</w:t>
            </w:r>
          </w:p>
        </w:tc>
        <w:tc>
          <w:tcPr>
            <w:tcW w:w="3823" w:type="dxa"/>
            <w:tcBorders>
              <w:top w:val="single" w:color="auto" w:sz="4" w:space="0"/>
              <w:left w:val="single" w:color="auto" w:sz="4" w:space="0"/>
              <w:bottom w:val="single" w:color="auto" w:sz="4" w:space="0"/>
              <w:right w:val="single" w:color="auto" w:sz="4" w:space="0"/>
            </w:tcBorders>
            <w:vAlign w:val="center"/>
          </w:tcPr>
          <w:p w14:paraId="584AD865">
            <w:pPr>
              <w:spacing w:line="240" w:lineRule="auto"/>
              <w:jc w:val="center"/>
              <w:rPr>
                <w:rFonts w:hint="eastAsia" w:ascii="微软雅黑" w:hAnsi="微软雅黑"/>
                <w:sz w:val="18"/>
                <w:szCs w:val="18"/>
                <w:lang w:val="en-US"/>
              </w:rPr>
            </w:pPr>
            <w:r>
              <w:rPr>
                <w:rFonts w:hint="eastAsia" w:ascii="微软雅黑" w:hAnsi="微软雅黑"/>
                <w:sz w:val="18"/>
                <w:szCs w:val="18"/>
              </w:rPr>
              <w:t>城乡居住区等</w:t>
            </w:r>
          </w:p>
        </w:tc>
      </w:tr>
      <w:tr w14:paraId="6F4C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57DB37FB">
            <w:pPr>
              <w:spacing w:line="240" w:lineRule="auto"/>
              <w:jc w:val="center"/>
              <w:rPr>
                <w:rFonts w:hint="eastAsia" w:ascii="微软雅黑" w:hAnsi="微软雅黑"/>
                <w:sz w:val="18"/>
                <w:szCs w:val="18"/>
                <w:lang w:val="en-US"/>
              </w:rPr>
            </w:pPr>
            <w:r>
              <w:rPr>
                <w:rFonts w:hint="eastAsia" w:ascii="微软雅黑" w:hAnsi="微软雅黑"/>
                <w:sz w:val="18"/>
                <w:szCs w:val="18"/>
              </w:rPr>
              <w:t>E4</w:t>
            </w:r>
          </w:p>
        </w:tc>
        <w:tc>
          <w:tcPr>
            <w:tcW w:w="2976" w:type="dxa"/>
            <w:tcBorders>
              <w:top w:val="single" w:color="auto" w:sz="4" w:space="0"/>
              <w:left w:val="single" w:color="auto" w:sz="4" w:space="0"/>
              <w:bottom w:val="single" w:color="auto" w:sz="4" w:space="0"/>
              <w:right w:val="single" w:color="auto" w:sz="4" w:space="0"/>
            </w:tcBorders>
            <w:vAlign w:val="center"/>
          </w:tcPr>
          <w:p w14:paraId="0FFF8E6C">
            <w:pPr>
              <w:spacing w:line="240" w:lineRule="auto"/>
              <w:jc w:val="center"/>
              <w:rPr>
                <w:rFonts w:hint="eastAsia" w:ascii="微软雅黑" w:hAnsi="微软雅黑"/>
                <w:sz w:val="18"/>
                <w:szCs w:val="18"/>
                <w:lang w:val="en-US"/>
              </w:rPr>
            </w:pPr>
            <w:r>
              <w:rPr>
                <w:rFonts w:hint="eastAsia" w:ascii="微软雅黑" w:hAnsi="微软雅黑"/>
                <w:sz w:val="18"/>
                <w:szCs w:val="18"/>
              </w:rPr>
              <w:t>高亮度环境区</w:t>
            </w:r>
          </w:p>
        </w:tc>
        <w:tc>
          <w:tcPr>
            <w:tcW w:w="3823" w:type="dxa"/>
            <w:tcBorders>
              <w:top w:val="single" w:color="auto" w:sz="4" w:space="0"/>
              <w:left w:val="single" w:color="auto" w:sz="4" w:space="0"/>
              <w:bottom w:val="single" w:color="auto" w:sz="4" w:space="0"/>
              <w:right w:val="single" w:color="auto" w:sz="4" w:space="0"/>
            </w:tcBorders>
            <w:vAlign w:val="center"/>
          </w:tcPr>
          <w:p w14:paraId="5A0790D6">
            <w:pPr>
              <w:spacing w:line="240" w:lineRule="auto"/>
              <w:jc w:val="center"/>
              <w:rPr>
                <w:rFonts w:hint="eastAsia" w:ascii="微软雅黑" w:hAnsi="微软雅黑"/>
                <w:sz w:val="18"/>
                <w:szCs w:val="18"/>
                <w:lang w:val="en-US"/>
              </w:rPr>
            </w:pPr>
            <w:r>
              <w:rPr>
                <w:rFonts w:hint="eastAsia" w:ascii="微软雅黑" w:hAnsi="微软雅黑"/>
                <w:sz w:val="18"/>
                <w:szCs w:val="18"/>
              </w:rPr>
              <w:t>城市或城镇中心和商业区等</w:t>
            </w:r>
          </w:p>
        </w:tc>
      </w:tr>
    </w:tbl>
    <w:p w14:paraId="5C2BE290">
      <w:pPr>
        <w:spacing w:before="240"/>
        <w:ind w:left="420" w:leftChars="200" w:firstLine="420" w:firstLineChars="200"/>
        <w:rPr>
          <w:rFonts w:hint="eastAsia" w:ascii="微软雅黑" w:hAnsi="微软雅黑"/>
          <w:sz w:val="18"/>
          <w:szCs w:val="18"/>
          <w:lang w:val="en-US"/>
        </w:rPr>
      </w:pPr>
      <w:r>
        <w:rPr>
          <w:rFonts w:hint="eastAsia"/>
        </w:rPr>
        <w:t>根据上述规则，本项目所在地属于</w:t>
      </w:r>
      <w:bookmarkStart w:id="19" w:name="环境区域1"/>
      <w:r>
        <w:rPr>
          <w:b/>
          <w:bCs/>
        </w:rPr>
        <w:t>E4</w:t>
      </w:r>
      <w:bookmarkEnd w:id="19"/>
      <w:r>
        <w:rPr>
          <w:rFonts w:hint="eastAsia"/>
        </w:rPr>
        <w:t>区域，参照</w:t>
      </w:r>
      <w:bookmarkStart w:id="20" w:name="环境区域2"/>
      <w:r>
        <w:t>E4</w:t>
      </w:r>
      <w:bookmarkEnd w:id="20"/>
      <w:r>
        <w:rPr>
          <w:rFonts w:hint="eastAsia"/>
        </w:rPr>
        <w:t>区域规定值进行达标判定。</w:t>
      </w:r>
    </w:p>
    <w:p w14:paraId="1A9FA886"/>
    <w:p w14:paraId="7A10D9F8">
      <w:pPr>
        <w:pStyle w:val="2"/>
        <w:ind w:left="432" w:hanging="432"/>
      </w:pPr>
      <w:bookmarkStart w:id="21" w:name="_Toc172042360"/>
      <w:r>
        <w:rPr>
          <w:rFonts w:hint="eastAsia"/>
        </w:rPr>
        <w:t>技术路线</w:t>
      </w:r>
      <w:bookmarkEnd w:id="21"/>
    </w:p>
    <w:p w14:paraId="7386EF42">
      <w:pPr>
        <w:ind w:firstLine="420" w:firstLineChars="200"/>
      </w:pPr>
      <w:r>
        <w:rPr>
          <w:rFonts w:hint="eastAsia"/>
        </w:rPr>
        <w:t>室外夜景照明光污染是指由于室外夜景照明所产生的干扰光或过量的光辐射，对人类、生态环境和天文观测等造成的负面影响。为避免光污染的产生，在夜景照明设计中应选择适宜的灯具，确保在满足照明要求的前提下减小灯具功率。同时，需合理布置灯具的安装位置，以减少光污染的影响：</w:t>
      </w:r>
    </w:p>
    <w:p w14:paraId="1A95B409">
      <w:pPr>
        <w:pStyle w:val="41"/>
        <w:numPr>
          <w:ilvl w:val="0"/>
          <w:numId w:val="4"/>
        </w:numPr>
        <w:ind w:firstLineChars="0"/>
      </w:pPr>
      <w:r>
        <w:rPr>
          <w:rFonts w:hint="eastAsia"/>
        </w:rPr>
        <w:t>玻璃幕墙、铝塑板墙、釉面砖墙或其他具有光滑表面的建筑物不宜采用投光照明设计；</w:t>
      </w:r>
    </w:p>
    <w:p w14:paraId="7C2876E3">
      <w:pPr>
        <w:pStyle w:val="41"/>
        <w:numPr>
          <w:ilvl w:val="0"/>
          <w:numId w:val="4"/>
        </w:numPr>
        <w:ind w:firstLineChars="0"/>
      </w:pPr>
      <w:r>
        <w:rPr>
          <w:rFonts w:hint="eastAsia"/>
        </w:rPr>
        <w:t>对于住宅、宿舍、教学楼等场所，应避免使用泛光照明；</w:t>
      </w:r>
    </w:p>
    <w:p w14:paraId="3765D674">
      <w:pPr>
        <w:pStyle w:val="41"/>
        <w:numPr>
          <w:ilvl w:val="0"/>
          <w:numId w:val="4"/>
        </w:numPr>
        <w:ind w:firstLineChars="0"/>
      </w:pPr>
      <w:r>
        <w:rPr>
          <w:rFonts w:hint="eastAsia"/>
        </w:rPr>
        <w:t>在住宅小区的室外照明中，尽量避免将灯具安装在邻近住宅窗户附近；</w:t>
      </w:r>
    </w:p>
    <w:p w14:paraId="58E100DF">
      <w:pPr>
        <w:pStyle w:val="41"/>
        <w:numPr>
          <w:ilvl w:val="0"/>
          <w:numId w:val="4"/>
        </w:numPr>
        <w:ind w:firstLineChars="0"/>
      </w:pPr>
      <w:r>
        <w:rPr>
          <w:rFonts w:hint="eastAsia"/>
        </w:rPr>
        <w:t>绿化景观的投光照明应尽量采用间接式投光，以减少光线的直射；</w:t>
      </w:r>
    </w:p>
    <w:p w14:paraId="4AEB57F5">
      <w:pPr>
        <w:pStyle w:val="41"/>
        <w:numPr>
          <w:ilvl w:val="0"/>
          <w:numId w:val="4"/>
        </w:numPr>
        <w:ind w:firstLineChars="0"/>
      </w:pPr>
      <w:r>
        <w:rPr>
          <w:rFonts w:hint="eastAsia"/>
        </w:rPr>
        <w:t>在满足照明要求的前提下，尽量减小灯具功率。</w:t>
      </w:r>
    </w:p>
    <w:p w14:paraId="419A2FE4">
      <w:pPr>
        <w:pStyle w:val="4"/>
        <w:rPr>
          <w:rFonts w:ascii="Times New Roman" w:cs="Times New Roman"/>
        </w:rPr>
      </w:pPr>
      <w:bookmarkStart w:id="22" w:name="_灯具数据"/>
      <w:bookmarkEnd w:id="22"/>
      <w:bookmarkStart w:id="23" w:name="_Toc172042361"/>
      <w:r>
        <w:rPr>
          <w:rFonts w:hint="eastAsia" w:ascii="Times New Roman" w:cs="Times New Roman"/>
        </w:rPr>
        <w:t>灯具数据</w:t>
      </w:r>
      <w:bookmarkEnd w:id="23"/>
    </w:p>
    <w:p w14:paraId="532C0828">
      <w:pPr>
        <w:ind w:firstLine="420" w:firstLineChars="200"/>
      </w:pPr>
      <w:r>
        <w:rPr>
          <w:rFonts w:hint="eastAsia"/>
        </w:rPr>
        <w:t xml:space="preserve">本项目进行夜景照明光污染分析时，根据项目设计图纸情况进行灯具布置，项目选用灯具的具体信息详见下表： </w:t>
      </w:r>
    </w:p>
    <w:p w14:paraId="5B41C790">
      <w:pPr>
        <w:pStyle w:val="15"/>
        <w:spacing w:line="360" w:lineRule="auto"/>
        <w:ind w:firstLine="360"/>
        <w:jc w:val="center"/>
        <w:rPr>
          <w:rFonts w:ascii="Times New Roman" w:hAnsi="Times New Roman"/>
          <w:kern w:val="0"/>
          <w:sz w:val="21"/>
          <w:szCs w:val="21"/>
        </w:rPr>
      </w:pPr>
      <w:r>
        <w:rPr>
          <w:rFonts w:hint="eastAsia" w:ascii="微软雅黑" w:hAnsi="微软雅黑"/>
          <w:sz w:val="18"/>
          <w:szCs w:val="18"/>
        </w:rPr>
        <w:t>表4</w:t>
      </w:r>
      <w:r>
        <w:rPr>
          <w:rFonts w:ascii="微软雅黑" w:hAnsi="微软雅黑"/>
          <w:sz w:val="18"/>
          <w:szCs w:val="18"/>
        </w:rPr>
        <w:t xml:space="preserve"> </w:t>
      </w:r>
      <w:r>
        <w:rPr>
          <w:rFonts w:hint="eastAsia" w:ascii="微软雅黑" w:hAnsi="微软雅黑"/>
          <w:sz w:val="18"/>
          <w:szCs w:val="18"/>
        </w:rPr>
        <w:t>灯具参数</w:t>
      </w:r>
    </w:p>
    <w:tbl>
      <w:tblPr>
        <w:tblStyle w:val="24"/>
        <w:tblW w:w="87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166"/>
        <w:gridCol w:w="938"/>
        <w:gridCol w:w="938"/>
        <w:gridCol w:w="938"/>
        <w:gridCol w:w="3806"/>
      </w:tblGrid>
      <w:tr w14:paraId="4EAF10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9" w:hRule="atLeast"/>
          <w:jc w:val="center"/>
        </w:trPr>
        <w:tc>
          <w:tcPr>
            <w:tcW w:w="2166" w:type="dxa"/>
            <w:shd w:val="clear" w:color="auto" w:fill="E7E6E6"/>
            <w:vAlign w:val="center"/>
          </w:tcPr>
          <w:p w14:paraId="0591C1C6">
            <w:pPr>
              <w:jc w:val="center"/>
              <w:rPr>
                <w:rFonts w:hint="eastAsia" w:ascii="微软雅黑" w:hAnsi="微软雅黑"/>
                <w:b/>
                <w:bCs/>
                <w:sz w:val="18"/>
                <w:szCs w:val="18"/>
                <w:lang w:val="en-US"/>
              </w:rPr>
            </w:pPr>
            <w:bookmarkStart w:id="24" w:name="灯具参数表"/>
            <w:r>
              <w:rPr>
                <w:rFonts w:hint="eastAsia" w:ascii="微软雅黑" w:hAnsi="微软雅黑"/>
                <w:b/>
                <w:bCs/>
                <w:sz w:val="18"/>
                <w:szCs w:val="18"/>
              </w:rPr>
              <w:t>名称</w:t>
            </w:r>
          </w:p>
        </w:tc>
        <w:tc>
          <w:tcPr>
            <w:tcW w:w="938" w:type="dxa"/>
            <w:shd w:val="clear" w:color="auto" w:fill="E7E6E6"/>
            <w:vAlign w:val="center"/>
          </w:tcPr>
          <w:p w14:paraId="43C36FF8">
            <w:pPr>
              <w:jc w:val="center"/>
              <w:rPr>
                <w:rFonts w:hint="eastAsia" w:ascii="微软雅黑" w:hAnsi="微软雅黑"/>
                <w:b/>
                <w:bCs/>
                <w:sz w:val="18"/>
                <w:szCs w:val="18"/>
              </w:rPr>
            </w:pPr>
            <w:r>
              <w:rPr>
                <w:rFonts w:hint="eastAsia" w:ascii="微软雅黑" w:hAnsi="微软雅黑"/>
                <w:b/>
                <w:bCs/>
                <w:sz w:val="18"/>
                <w:szCs w:val="18"/>
              </w:rPr>
              <w:t>数量</w:t>
            </w:r>
          </w:p>
        </w:tc>
        <w:tc>
          <w:tcPr>
            <w:tcW w:w="938" w:type="dxa"/>
            <w:shd w:val="clear" w:color="auto" w:fill="E7E6E6"/>
            <w:vAlign w:val="center"/>
          </w:tcPr>
          <w:p w14:paraId="3BAB48EC">
            <w:pPr>
              <w:jc w:val="center"/>
              <w:rPr>
                <w:rFonts w:hint="eastAsia" w:ascii="微软雅黑" w:hAnsi="微软雅黑"/>
                <w:b/>
                <w:bCs/>
                <w:sz w:val="18"/>
                <w:szCs w:val="18"/>
              </w:rPr>
            </w:pPr>
            <w:r>
              <w:rPr>
                <w:rFonts w:hint="eastAsia" w:ascii="微软雅黑" w:hAnsi="微软雅黑"/>
                <w:b/>
                <w:bCs/>
                <w:sz w:val="18"/>
                <w:szCs w:val="18"/>
              </w:rPr>
              <w:t>形状</w:t>
            </w:r>
          </w:p>
        </w:tc>
        <w:tc>
          <w:tcPr>
            <w:tcW w:w="938" w:type="dxa"/>
            <w:shd w:val="clear" w:color="auto" w:fill="E7E6E6"/>
            <w:vAlign w:val="center"/>
          </w:tcPr>
          <w:p w14:paraId="351958AE">
            <w:pPr>
              <w:jc w:val="center"/>
              <w:rPr>
                <w:rFonts w:hint="eastAsia" w:ascii="微软雅黑" w:hAnsi="微软雅黑"/>
                <w:b/>
                <w:bCs/>
                <w:sz w:val="18"/>
                <w:szCs w:val="18"/>
              </w:rPr>
            </w:pPr>
            <w:r>
              <w:rPr>
                <w:rFonts w:hint="eastAsia" w:ascii="微软雅黑" w:hAnsi="微软雅黑"/>
                <w:b/>
                <w:bCs/>
                <w:sz w:val="18"/>
                <w:szCs w:val="18"/>
              </w:rPr>
              <w:t>功率W</w:t>
            </w:r>
          </w:p>
        </w:tc>
        <w:tc>
          <w:tcPr>
            <w:tcW w:w="3806" w:type="dxa"/>
            <w:shd w:val="clear" w:color="auto" w:fill="F2F2F2"/>
            <w:vAlign w:val="center"/>
          </w:tcPr>
          <w:p w14:paraId="286BE7F9">
            <w:pPr>
              <w:jc w:val="center"/>
              <w:rPr>
                <w:rFonts w:hint="eastAsia" w:ascii="微软雅黑" w:hAnsi="微软雅黑"/>
                <w:b/>
                <w:bCs/>
                <w:sz w:val="18"/>
                <w:szCs w:val="18"/>
              </w:rPr>
            </w:pPr>
            <w:r>
              <w:rPr>
                <w:rFonts w:hint="eastAsia" w:ascii="微软雅黑" w:hAnsi="微软雅黑"/>
                <w:b/>
                <w:bCs/>
                <w:sz w:val="18"/>
                <w:szCs w:val="18"/>
              </w:rPr>
              <w:t>厂商</w:t>
            </w:r>
          </w:p>
        </w:tc>
      </w:tr>
      <w:tr w14:paraId="015F32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 w:hRule="atLeast"/>
          <w:jc w:val="center"/>
        </w:trPr>
        <w:tc>
          <w:tcPr>
            <w:tcW w:w="2166" w:type="dxa"/>
            <w:vAlign w:val="center"/>
          </w:tcPr>
          <w:p w14:paraId="2D131ED1">
            <w:pPr>
              <w:jc w:val="center"/>
              <w:rPr>
                <w:rFonts w:hint="eastAsia" w:ascii="微软雅黑" w:hAnsi="微软雅黑"/>
                <w:sz w:val="18"/>
                <w:szCs w:val="18"/>
              </w:rPr>
            </w:pPr>
            <w:r>
              <w:rPr>
                <w:rFonts w:hint="eastAsia" w:ascii="宋体" w:hAnsi="宋体"/>
                <w:sz w:val="18"/>
                <w:szCs w:val="18"/>
              </w:rPr>
              <w:t>景观</w:t>
            </w:r>
            <w:r>
              <w:rPr>
                <w:sz w:val="18"/>
                <w:szCs w:val="18"/>
              </w:rPr>
              <w:t>路灯</w:t>
            </w:r>
          </w:p>
        </w:tc>
        <w:tc>
          <w:tcPr>
            <w:tcW w:w="938" w:type="dxa"/>
            <w:shd w:val="clear" w:color="auto" w:fill="auto"/>
            <w:vAlign w:val="top"/>
          </w:tcPr>
          <w:p w14:paraId="519214C3">
            <w:pPr>
              <w:jc w:val="center"/>
              <w:rPr>
                <w:rFonts w:hint="eastAsia" w:ascii="Times New Roman" w:hAnsi="Times New Roman" w:eastAsia="微软雅黑" w:cs="Times New Roman"/>
                <w:sz w:val="18"/>
                <w:szCs w:val="18"/>
                <w:lang w:val="en-GB" w:eastAsia="zh-CN" w:bidi="ar-SA"/>
              </w:rPr>
            </w:pPr>
            <w:r>
              <w:rPr>
                <w:rFonts w:hint="eastAsia" w:ascii="宋体" w:hAnsi="宋体"/>
                <w:sz w:val="18"/>
                <w:szCs w:val="18"/>
              </w:rPr>
              <w:t>78</w:t>
            </w:r>
          </w:p>
        </w:tc>
        <w:tc>
          <w:tcPr>
            <w:tcW w:w="938" w:type="dxa"/>
            <w:shd w:val="clear" w:color="auto" w:fill="auto"/>
            <w:vAlign w:val="top"/>
          </w:tcPr>
          <w:p w14:paraId="6C3358B3">
            <w:pPr>
              <w:jc w:val="center"/>
              <w:rPr>
                <w:rFonts w:hint="eastAsia" w:ascii="Times New Roman" w:hAnsi="Times New Roman" w:eastAsia="微软雅黑" w:cs="Times New Roman"/>
                <w:sz w:val="18"/>
                <w:szCs w:val="18"/>
                <w:lang w:val="en-GB" w:eastAsia="zh-CN" w:bidi="ar-SA"/>
              </w:rPr>
            </w:pPr>
            <w:r>
              <w:rPr>
                <w:rFonts w:hint="eastAsia"/>
                <w:sz w:val="18"/>
                <w:szCs w:val="18"/>
              </w:rPr>
              <w:t>球形</w:t>
            </w:r>
          </w:p>
        </w:tc>
        <w:tc>
          <w:tcPr>
            <w:tcW w:w="938" w:type="dxa"/>
          </w:tcPr>
          <w:p w14:paraId="08DEBF65">
            <w:pPr>
              <w:jc w:val="center"/>
              <w:rPr>
                <w:rFonts w:hint="eastAsia" w:ascii="微软雅黑" w:hAnsi="微软雅黑"/>
                <w:sz w:val="18"/>
                <w:szCs w:val="18"/>
              </w:rPr>
            </w:pPr>
            <w:r>
              <w:rPr>
                <w:rFonts w:hint="eastAsia" w:ascii="宋体" w:hAnsi="宋体"/>
                <w:sz w:val="18"/>
                <w:szCs w:val="18"/>
              </w:rPr>
              <w:t xml:space="preserve">50 </w:t>
            </w:r>
          </w:p>
        </w:tc>
        <w:tc>
          <w:tcPr>
            <w:tcW w:w="3806" w:type="dxa"/>
          </w:tcPr>
          <w:p w14:paraId="64613C9D">
            <w:pPr>
              <w:jc w:val="center"/>
              <w:rPr>
                <w:rFonts w:hint="eastAsia" w:ascii="微软雅黑" w:hAnsi="微软雅黑"/>
                <w:sz w:val="18"/>
                <w:szCs w:val="18"/>
              </w:rPr>
            </w:pPr>
          </w:p>
        </w:tc>
      </w:tr>
      <w:bookmarkEnd w:id="24"/>
    </w:tbl>
    <w:p w14:paraId="3C1B359B">
      <w:pPr>
        <w:pStyle w:val="4"/>
        <w:rPr>
          <w:rFonts w:ascii="Times New Roman" w:cs="Times New Roman"/>
        </w:rPr>
      </w:pPr>
      <w:bookmarkStart w:id="25" w:name="_Toc172042363"/>
      <w:r>
        <w:rPr>
          <w:rFonts w:hint="eastAsia" w:ascii="Times New Roman" w:cs="Times New Roman"/>
        </w:rPr>
        <w:t>安装位置</w:t>
      </w:r>
      <w:bookmarkEnd w:id="25"/>
    </w:p>
    <w:p w14:paraId="6D1D21D0">
      <w:pPr>
        <w:pStyle w:val="15"/>
        <w:spacing w:line="360" w:lineRule="auto"/>
        <w:jc w:val="center"/>
        <w:rPr>
          <w:rFonts w:hint="eastAsia"/>
        </w:rPr>
      </w:pPr>
      <w:bookmarkStart w:id="26" w:name="灯具安装位置平面图"/>
      <w:bookmarkEnd w:id="26"/>
      <w:r>
        <w:drawing>
          <wp:inline distT="0" distB="0" distL="114300" distR="114300">
            <wp:extent cx="5756910" cy="3540760"/>
            <wp:effectExtent l="0" t="0" r="15240" b="254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4"/>
                    <a:stretch>
                      <a:fillRect/>
                    </a:stretch>
                  </pic:blipFill>
                  <pic:spPr>
                    <a:xfrm>
                      <a:off x="0" y="0"/>
                      <a:ext cx="5756910" cy="3540760"/>
                    </a:xfrm>
                    <a:prstGeom prst="rect">
                      <a:avLst/>
                    </a:prstGeom>
                    <a:noFill/>
                    <a:ln>
                      <a:noFill/>
                    </a:ln>
                  </pic:spPr>
                </pic:pic>
              </a:graphicData>
            </a:graphic>
          </wp:inline>
        </w:drawing>
      </w:r>
    </w:p>
    <w:p w14:paraId="257B063E">
      <w:pPr>
        <w:pStyle w:val="12"/>
        <w:jc w:val="center"/>
        <w:rPr>
          <w:color w:val="FF0000"/>
        </w:rPr>
      </w:pPr>
      <w:r>
        <w:rPr>
          <w:sz w:val="18"/>
          <w:szCs w:val="18"/>
        </w:rPr>
        <w:t>图</w:t>
      </w:r>
      <w:r>
        <w:t xml:space="preserve"> </w:t>
      </w:r>
      <w:r>
        <w:fldChar w:fldCharType="begin"/>
      </w:r>
      <w:r>
        <w:instrText xml:space="preserve"> SEQ 图 \* ARABIC </w:instrText>
      </w:r>
      <w:r>
        <w:fldChar w:fldCharType="separate"/>
      </w:r>
      <w:r>
        <w:t>3</w:t>
      </w:r>
      <w:r>
        <w:fldChar w:fldCharType="end"/>
      </w:r>
      <w:r>
        <w:rPr>
          <w:rFonts w:hint="eastAsia" w:ascii="黑体" w:hAnsi="黑体"/>
          <w:sz w:val="18"/>
          <w:szCs w:val="18"/>
        </w:rPr>
        <w:t>灯具安装位置平面图</w:t>
      </w:r>
    </w:p>
    <w:p w14:paraId="7BAB47DF">
      <w:pPr>
        <w:pStyle w:val="4"/>
        <w:rPr>
          <w:rFonts w:ascii="Times New Roman" w:cs="Times New Roman"/>
        </w:rPr>
      </w:pPr>
      <w:bookmarkStart w:id="27" w:name="_Toc172042364"/>
      <w:r>
        <w:rPr>
          <w:rFonts w:hint="eastAsia" w:ascii="Times New Roman" w:cs="Times New Roman"/>
        </w:rPr>
        <w:t>计算模型</w:t>
      </w:r>
      <w:bookmarkEnd w:id="27"/>
    </w:p>
    <w:p w14:paraId="74F11D8F">
      <w:pPr>
        <w:ind w:firstLine="420" w:firstLineChars="200"/>
      </w:pPr>
      <w:r>
        <w:t>本报告根据</w:t>
      </w:r>
      <w:r>
        <w:rPr>
          <w:rFonts w:hint="eastAsia"/>
        </w:rPr>
        <w:t>景观电气</w:t>
      </w:r>
      <w:r>
        <w:t>设计图纸及其他相关资料采用</w:t>
      </w:r>
      <w:r>
        <w:rPr>
          <w:rFonts w:hint="eastAsia"/>
        </w:rPr>
        <w:t>绿建斯维尔采光分析Dali</w:t>
      </w:r>
      <w:r>
        <w:t>软件建立室外夜景照明分析模型。</w:t>
      </w:r>
      <w:r>
        <w:rPr>
          <w:rFonts w:hint="eastAsia"/>
        </w:rPr>
        <w:t>本项目</w:t>
      </w:r>
      <w:r>
        <w:t>室外夜景照明分析模型如下：</w:t>
      </w:r>
    </w:p>
    <w:p w14:paraId="6107F859">
      <w:pPr>
        <w:pStyle w:val="15"/>
        <w:spacing w:before="240" w:line="360" w:lineRule="auto"/>
        <w:jc w:val="center"/>
        <w:rPr>
          <w:rFonts w:hint="eastAsia"/>
          <w:lang w:val="en-GB"/>
        </w:rPr>
      </w:pPr>
      <w:bookmarkStart w:id="28" w:name="夜景照明渲染图"/>
      <w:bookmarkEnd w:id="28"/>
      <w:r>
        <w:drawing>
          <wp:inline distT="0" distB="0" distL="114300" distR="114300">
            <wp:extent cx="4198620" cy="2713990"/>
            <wp:effectExtent l="0" t="0" r="11430" b="1016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5"/>
                    <a:stretch>
                      <a:fillRect/>
                    </a:stretch>
                  </pic:blipFill>
                  <pic:spPr>
                    <a:xfrm>
                      <a:off x="0" y="0"/>
                      <a:ext cx="4198620" cy="2713990"/>
                    </a:xfrm>
                    <a:prstGeom prst="rect">
                      <a:avLst/>
                    </a:prstGeom>
                    <a:noFill/>
                    <a:ln>
                      <a:noFill/>
                    </a:ln>
                  </pic:spPr>
                </pic:pic>
              </a:graphicData>
            </a:graphic>
          </wp:inline>
        </w:drawing>
      </w:r>
    </w:p>
    <w:p w14:paraId="09CF62D9">
      <w:pPr>
        <w:pStyle w:val="12"/>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t>4</w:t>
      </w:r>
      <w:r>
        <w:fldChar w:fldCharType="end"/>
      </w:r>
      <w:r>
        <w:rPr>
          <w:rFonts w:hint="eastAsia" w:ascii="微软雅黑" w:hAnsi="微软雅黑" w:eastAsia="微软雅黑"/>
          <w:sz w:val="18"/>
          <w:lang w:val="en-US"/>
        </w:rPr>
        <w:t>夜景照明渲染图</w:t>
      </w:r>
    </w:p>
    <w:p w14:paraId="740FE39D">
      <w:pPr>
        <w:pStyle w:val="2"/>
        <w:ind w:left="432" w:hanging="432"/>
      </w:pPr>
      <w:bookmarkStart w:id="29" w:name="_Toc172042365"/>
      <w:r>
        <w:rPr>
          <w:rFonts w:hint="eastAsia"/>
        </w:rPr>
        <w:t>夜景照明分析</w:t>
      </w:r>
      <w:bookmarkEnd w:id="29"/>
    </w:p>
    <w:p w14:paraId="209BF480">
      <w:pPr>
        <w:pStyle w:val="4"/>
      </w:pPr>
      <w:bookmarkStart w:id="30" w:name="_Toc172042366"/>
      <w:r>
        <w:rPr>
          <w:rFonts w:hint="eastAsia" w:ascii="Times New Roman" w:cs="Times New Roman"/>
        </w:rPr>
        <w:t>夜景照明对居室的影响</w:t>
      </w:r>
      <w:bookmarkEnd w:id="30"/>
    </w:p>
    <w:p w14:paraId="19FF8CB9">
      <w:pPr>
        <w:ind w:firstLine="420" w:firstLineChars="200"/>
        <w:rPr>
          <w:lang w:val="en-US"/>
        </w:rPr>
      </w:pPr>
      <w:r>
        <w:rPr>
          <w:rFonts w:hint="eastAsia"/>
          <w:lang w:val="en-US"/>
        </w:rPr>
        <w:t>灯具照射方向朝向居室窗户将对居住者的生活产生影响。《室外照明干扰光限制规范》GB/T 35626和《城市夜景照明设计规范》JGJ/T 163中对朝向居室方向的灯具发光强度提出了具体要求。根据项目中采用的灯具信息，结合配光曲线等资料，可以计算出灯具的发光强度，并最终得出建筑物外立面的垂直照度。</w:t>
      </w:r>
    </w:p>
    <w:p w14:paraId="7BC64DD9">
      <w:pPr>
        <w:pStyle w:val="3"/>
        <w:ind w:firstLine="420"/>
        <w:rPr>
          <w:lang w:val="en-US"/>
        </w:rPr>
      </w:pPr>
      <w:bookmarkStart w:id="31" w:name="_Hlk173506256"/>
    </w:p>
    <w:p w14:paraId="01A58A54">
      <w:pPr>
        <w:pStyle w:val="3"/>
        <w:ind w:firstLine="420"/>
        <w:jc w:val="center"/>
        <w:rPr>
          <w:lang w:val="en-US"/>
        </w:rPr>
      </w:pPr>
      <w:bookmarkStart w:id="32" w:name="建筑立面照度伪彩图"/>
      <w:bookmarkEnd w:id="32"/>
      <w:bookmarkStart w:id="33" w:name="_Hlk173506247"/>
      <w:r>
        <w:rPr>
          <w:lang w:val="en-US"/>
        </w:rPr>
        <w:drawing>
          <wp:inline distT="0" distB="0" distL="114300" distR="114300">
            <wp:extent cx="5273675" cy="2487930"/>
            <wp:effectExtent l="0" t="0" r="3175" b="7620"/>
            <wp:docPr id="6" name="图片 5" descr="立面恶化分析_照度图_2018-1-15_14-1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立面恶化分析_照度图_2018-1-15_14-15-31"/>
                    <pic:cNvPicPr>
                      <a:picLocks noChangeAspect="1"/>
                    </pic:cNvPicPr>
                  </pic:nvPicPr>
                  <pic:blipFill>
                    <a:blip r:embed="rId16"/>
                    <a:stretch>
                      <a:fillRect/>
                    </a:stretch>
                  </pic:blipFill>
                  <pic:spPr>
                    <a:xfrm>
                      <a:off x="0" y="0"/>
                      <a:ext cx="5273675" cy="2487930"/>
                    </a:xfrm>
                    <a:prstGeom prst="rect">
                      <a:avLst/>
                    </a:prstGeom>
                    <a:noFill/>
                    <a:ln>
                      <a:noFill/>
                    </a:ln>
                  </pic:spPr>
                </pic:pic>
              </a:graphicData>
            </a:graphic>
          </wp:inline>
        </w:drawing>
      </w:r>
    </w:p>
    <w:p w14:paraId="46B85BCF">
      <w:pPr>
        <w:pStyle w:val="12"/>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t>5</w:t>
      </w:r>
      <w:r>
        <w:fldChar w:fldCharType="end"/>
      </w:r>
      <w:r>
        <w:rPr>
          <w:rFonts w:hint="eastAsia" w:ascii="微软雅黑" w:hAnsi="微软雅黑"/>
          <w:sz w:val="18"/>
          <w:lang w:val="en-US"/>
        </w:rPr>
        <w:t xml:space="preserve"> </w:t>
      </w:r>
      <w:r>
        <w:rPr>
          <w:rFonts w:ascii="微软雅黑" w:hAnsi="微软雅黑"/>
          <w:sz w:val="18"/>
          <w:lang w:val="en-US"/>
        </w:rPr>
        <w:t xml:space="preserve"> </w:t>
      </w:r>
      <w:r>
        <w:rPr>
          <w:rFonts w:hint="eastAsia" w:ascii="微软雅黑" w:hAnsi="微软雅黑"/>
          <w:sz w:val="18"/>
          <w:lang w:val="en-US"/>
        </w:rPr>
        <w:t>建筑立面垂直照度伪彩图</w:t>
      </w:r>
    </w:p>
    <w:bookmarkEnd w:id="31"/>
    <w:bookmarkEnd w:id="33"/>
    <w:p w14:paraId="29A6DCE2">
      <w:pPr>
        <w:pStyle w:val="15"/>
        <w:spacing w:before="240" w:line="360" w:lineRule="auto"/>
        <w:ind w:firstLine="360"/>
        <w:jc w:val="center"/>
        <w:rPr>
          <w:rFonts w:hint="eastAsia"/>
        </w:rPr>
      </w:pPr>
      <w:r>
        <w:rPr>
          <w:rFonts w:hint="eastAsia" w:ascii="微软雅黑" w:hAnsi="微软雅黑"/>
          <w:sz w:val="18"/>
          <w:szCs w:val="18"/>
        </w:rPr>
        <w:t>表5 居住空间窗户外表面垂直照度</w:t>
      </w:r>
    </w:p>
    <w:tbl>
      <w:tblPr>
        <w:tblStyle w:val="24"/>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92"/>
        <w:gridCol w:w="1134"/>
        <w:gridCol w:w="1276"/>
        <w:gridCol w:w="2977"/>
        <w:gridCol w:w="1275"/>
      </w:tblGrid>
      <w:tr w14:paraId="4D60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1749063">
            <w:pPr>
              <w:jc w:val="center"/>
              <w:rPr>
                <w:rFonts w:eastAsia="宋体"/>
                <w:b/>
                <w:bCs/>
                <w:sz w:val="18"/>
                <w:szCs w:val="18"/>
                <w:lang w:val="en-US"/>
              </w:rPr>
            </w:pPr>
            <w:bookmarkStart w:id="34" w:name="居住空间窗户外表面垂直照度表"/>
            <w:r>
              <w:rPr>
                <w:rFonts w:hint="eastAsia"/>
                <w:b/>
                <w:bCs/>
                <w:sz w:val="18"/>
                <w:szCs w:val="18"/>
              </w:rPr>
              <w:t>窗序号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FD3E7F9">
            <w:pPr>
              <w:jc w:val="center"/>
              <w:rPr>
                <w:b/>
                <w:bCs/>
                <w:sz w:val="18"/>
                <w:szCs w:val="18"/>
              </w:rPr>
            </w:pPr>
            <w:r>
              <w:rPr>
                <w:rFonts w:hint="eastAsia"/>
                <w:b/>
                <w:bCs/>
                <w:sz w:val="18"/>
                <w:szCs w:val="18"/>
              </w:rPr>
              <w:t>窗编号</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F773CA3">
            <w:pPr>
              <w:jc w:val="center"/>
              <w:rPr>
                <w:b/>
                <w:bCs/>
                <w:sz w:val="18"/>
                <w:szCs w:val="18"/>
              </w:rPr>
            </w:pPr>
            <w:r>
              <w:rPr>
                <w:rFonts w:hint="eastAsia"/>
                <w:b/>
                <w:bCs/>
                <w:sz w:val="18"/>
                <w:szCs w:val="18"/>
              </w:rPr>
              <w:t>窗台高(米)</w:t>
            </w:r>
          </w:p>
        </w:tc>
        <w:tc>
          <w:tcPr>
            <w:tcW w:w="1276"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C5DFDED">
            <w:pPr>
              <w:jc w:val="center"/>
              <w:rPr>
                <w:b/>
                <w:bCs/>
                <w:sz w:val="18"/>
                <w:szCs w:val="18"/>
              </w:rPr>
            </w:pPr>
            <w:r>
              <w:rPr>
                <w:rFonts w:hint="eastAsia"/>
                <w:b/>
                <w:bCs/>
                <w:sz w:val="18"/>
                <w:szCs w:val="18"/>
              </w:rPr>
              <w:t>朝向</w:t>
            </w:r>
          </w:p>
        </w:tc>
        <w:tc>
          <w:tcPr>
            <w:tcW w:w="2977"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CE3363B">
            <w:pPr>
              <w:jc w:val="center"/>
              <w:rPr>
                <w:b/>
                <w:bCs/>
                <w:sz w:val="18"/>
                <w:szCs w:val="18"/>
              </w:rPr>
            </w:pPr>
            <w:r>
              <w:rPr>
                <w:rFonts w:hint="eastAsia"/>
                <w:b/>
                <w:bCs/>
                <w:sz w:val="18"/>
                <w:szCs w:val="18"/>
              </w:rPr>
              <w:t>垂直照度Ev（lx）</w:t>
            </w:r>
          </w:p>
        </w:tc>
        <w:tc>
          <w:tcPr>
            <w:tcW w:w="1275"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3A433B4">
            <w:pPr>
              <w:jc w:val="center"/>
              <w:rPr>
                <w:b/>
                <w:bCs/>
                <w:sz w:val="18"/>
                <w:szCs w:val="18"/>
              </w:rPr>
            </w:pPr>
            <w:r>
              <w:rPr>
                <w:rFonts w:hint="eastAsia"/>
                <w:b/>
                <w:bCs/>
                <w:sz w:val="18"/>
                <w:szCs w:val="18"/>
              </w:rPr>
              <w:t>所属建筑</w:t>
            </w:r>
          </w:p>
        </w:tc>
      </w:tr>
      <w:tr w14:paraId="5F12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14:paraId="7E5F4111">
            <w:pPr>
              <w:jc w:val="center"/>
              <w:rPr>
                <w:sz w:val="18"/>
                <w:szCs w:val="18"/>
              </w:rPr>
            </w:pPr>
            <w:r>
              <w:rPr>
                <w:rFonts w:hint="eastAsia"/>
                <w:sz w:val="18"/>
                <w:szCs w:val="18"/>
              </w:rPr>
              <w:t>1</w:t>
            </w:r>
          </w:p>
        </w:tc>
        <w:tc>
          <w:tcPr>
            <w:tcW w:w="992" w:type="dxa"/>
            <w:tcBorders>
              <w:top w:val="single" w:color="auto" w:sz="4" w:space="0"/>
              <w:left w:val="single" w:color="auto" w:sz="4" w:space="0"/>
              <w:bottom w:val="single" w:color="auto" w:sz="4" w:space="0"/>
              <w:right w:val="single" w:color="auto" w:sz="4" w:space="0"/>
            </w:tcBorders>
            <w:vAlign w:val="center"/>
          </w:tcPr>
          <w:p w14:paraId="27502D5A">
            <w:pPr>
              <w:jc w:val="center"/>
              <w:rPr>
                <w:sz w:val="18"/>
                <w:szCs w:val="18"/>
              </w:rPr>
            </w:pPr>
            <w:r>
              <w:rPr>
                <w:rFonts w:hint="eastAsia"/>
                <w:sz w:val="18"/>
                <w:szCs w:val="18"/>
              </w:rPr>
              <w:t>9-6</w:t>
            </w:r>
          </w:p>
        </w:tc>
        <w:tc>
          <w:tcPr>
            <w:tcW w:w="1134" w:type="dxa"/>
            <w:tcBorders>
              <w:top w:val="single" w:color="auto" w:sz="4" w:space="0"/>
              <w:left w:val="single" w:color="auto" w:sz="4" w:space="0"/>
              <w:bottom w:val="single" w:color="auto" w:sz="4" w:space="0"/>
              <w:right w:val="single" w:color="auto" w:sz="4" w:space="0"/>
            </w:tcBorders>
            <w:vAlign w:val="center"/>
          </w:tcPr>
          <w:p w14:paraId="49E8990E">
            <w:pPr>
              <w:jc w:val="center"/>
              <w:rPr>
                <w:sz w:val="18"/>
                <w:szCs w:val="18"/>
              </w:rPr>
            </w:pPr>
            <w:r>
              <w:rPr>
                <w:rFonts w:hint="eastAsia"/>
                <w:sz w:val="18"/>
                <w:szCs w:val="18"/>
              </w:rPr>
              <w:t>25.5</w:t>
            </w:r>
          </w:p>
        </w:tc>
        <w:tc>
          <w:tcPr>
            <w:tcW w:w="1276" w:type="dxa"/>
            <w:tcBorders>
              <w:top w:val="single" w:color="auto" w:sz="4" w:space="0"/>
              <w:left w:val="single" w:color="auto" w:sz="4" w:space="0"/>
              <w:bottom w:val="single" w:color="auto" w:sz="4" w:space="0"/>
              <w:right w:val="single" w:color="auto" w:sz="4" w:space="0"/>
            </w:tcBorders>
            <w:vAlign w:val="center"/>
          </w:tcPr>
          <w:p w14:paraId="7B44933C">
            <w:pPr>
              <w:jc w:val="center"/>
              <w:rPr>
                <w:sz w:val="18"/>
                <w:szCs w:val="18"/>
              </w:rPr>
            </w:pPr>
            <w:r>
              <w:rPr>
                <w:rFonts w:hint="eastAsia"/>
                <w:sz w:val="18"/>
                <w:szCs w:val="18"/>
              </w:rPr>
              <w:t>正南</w:t>
            </w:r>
          </w:p>
        </w:tc>
        <w:tc>
          <w:tcPr>
            <w:tcW w:w="2977" w:type="dxa"/>
            <w:tcBorders>
              <w:top w:val="single" w:color="auto" w:sz="4" w:space="0"/>
              <w:left w:val="single" w:color="auto" w:sz="4" w:space="0"/>
              <w:bottom w:val="single" w:color="auto" w:sz="4" w:space="0"/>
              <w:right w:val="single" w:color="auto" w:sz="4" w:space="0"/>
            </w:tcBorders>
            <w:vAlign w:val="center"/>
          </w:tcPr>
          <w:p w14:paraId="10D16D3F">
            <w:pPr>
              <w:jc w:val="center"/>
              <w:rPr>
                <w:sz w:val="18"/>
                <w:szCs w:val="18"/>
              </w:rPr>
            </w:pPr>
            <w:r>
              <w:rPr>
                <w:rFonts w:hint="eastAsia"/>
                <w:sz w:val="18"/>
                <w:szCs w:val="18"/>
              </w:rPr>
              <w:t>0.0</w:t>
            </w:r>
          </w:p>
        </w:tc>
        <w:tc>
          <w:tcPr>
            <w:tcW w:w="1275" w:type="dxa"/>
            <w:tcBorders>
              <w:top w:val="single" w:color="auto" w:sz="4" w:space="0"/>
              <w:left w:val="single" w:color="auto" w:sz="4" w:space="0"/>
              <w:bottom w:val="single" w:color="auto" w:sz="4" w:space="0"/>
              <w:right w:val="single" w:color="auto" w:sz="4" w:space="0"/>
            </w:tcBorders>
            <w:vAlign w:val="center"/>
          </w:tcPr>
          <w:p w14:paraId="4D58B485">
            <w:pPr>
              <w:jc w:val="center"/>
              <w:rPr>
                <w:sz w:val="18"/>
                <w:szCs w:val="18"/>
              </w:rPr>
            </w:pPr>
            <w:r>
              <w:rPr>
                <w:rFonts w:hint="eastAsia"/>
                <w:sz w:val="18"/>
                <w:szCs w:val="18"/>
              </w:rPr>
              <w:t>1#</w:t>
            </w:r>
          </w:p>
        </w:tc>
      </w:tr>
      <w:bookmarkEnd w:id="34"/>
    </w:tbl>
    <w:p w14:paraId="593D14CB">
      <w:pPr>
        <w:pStyle w:val="4"/>
      </w:pPr>
      <w:bookmarkStart w:id="35" w:name="_Toc172042367"/>
      <w:r>
        <w:rPr>
          <w:rFonts w:hint="eastAsia" w:ascii="Times New Roman" w:cs="Times New Roman"/>
        </w:rPr>
        <w:t>室外显示屏平均亮度</w:t>
      </w:r>
      <w:bookmarkEnd w:id="35"/>
    </w:p>
    <w:p w14:paraId="17539E7E">
      <w:pPr>
        <w:ind w:firstLine="420" w:firstLineChars="200"/>
        <w:rPr>
          <w:lang w:val="en-US"/>
        </w:rPr>
      </w:pPr>
      <w:r>
        <w:rPr>
          <w:rFonts w:hint="eastAsia"/>
          <w:lang w:val="en-US"/>
        </w:rPr>
        <w:t>为了限制装饰性照明和照明标识的水平，避免对周边环境造成光污染，从而影响居民的正常生活和休息，相关标准对显示屏表面的平均亮度提出了具体要求。</w:t>
      </w:r>
      <w:bookmarkStart w:id="36" w:name="_Hlk173506295"/>
    </w:p>
    <w:p w14:paraId="7DF40D14">
      <w:pPr>
        <w:pStyle w:val="3"/>
        <w:spacing w:before="240"/>
        <w:ind w:firstLine="420"/>
        <w:jc w:val="center"/>
        <w:rPr>
          <w:lang w:val="en-US"/>
        </w:rPr>
      </w:pPr>
      <w:bookmarkStart w:id="37" w:name="建筑立面亮度伪彩图"/>
      <w:bookmarkEnd w:id="37"/>
      <w:bookmarkStart w:id="38" w:name="_Hlk173506288"/>
      <w:r>
        <w:drawing>
          <wp:inline distT="0" distB="0" distL="114300" distR="114300">
            <wp:extent cx="5273675" cy="2487930"/>
            <wp:effectExtent l="0" t="0" r="3175" b="7620"/>
            <wp:docPr id="7" name="图片 6" descr="立面恶化分析_亮度图_2018-1-15_14-1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立面恶化分析_亮度图_2018-1-15_14-15-31"/>
                    <pic:cNvPicPr>
                      <a:picLocks noChangeAspect="1"/>
                    </pic:cNvPicPr>
                  </pic:nvPicPr>
                  <pic:blipFill>
                    <a:blip r:embed="rId17"/>
                    <a:stretch>
                      <a:fillRect/>
                    </a:stretch>
                  </pic:blipFill>
                  <pic:spPr>
                    <a:xfrm>
                      <a:off x="0" y="0"/>
                      <a:ext cx="5273675" cy="2487930"/>
                    </a:xfrm>
                    <a:prstGeom prst="rect">
                      <a:avLst/>
                    </a:prstGeom>
                    <a:noFill/>
                    <a:ln>
                      <a:noFill/>
                    </a:ln>
                  </pic:spPr>
                </pic:pic>
              </a:graphicData>
            </a:graphic>
          </wp:inline>
        </w:drawing>
      </w:r>
    </w:p>
    <w:p w14:paraId="16A6B925">
      <w:pPr>
        <w:ind w:firstLine="360" w:firstLineChars="200"/>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t>6</w:t>
      </w:r>
      <w:r>
        <w:fldChar w:fldCharType="end"/>
      </w:r>
      <w:r>
        <w:rPr>
          <w:rFonts w:hint="eastAsia" w:ascii="微软雅黑" w:hAnsi="微软雅黑"/>
          <w:sz w:val="18"/>
          <w:lang w:val="en-US"/>
        </w:rPr>
        <w:t xml:space="preserve"> </w:t>
      </w:r>
      <w:r>
        <w:rPr>
          <w:rFonts w:ascii="微软雅黑" w:hAnsi="微软雅黑"/>
          <w:sz w:val="18"/>
          <w:lang w:val="en-US"/>
        </w:rPr>
        <w:t xml:space="preserve"> </w:t>
      </w:r>
      <w:r>
        <w:rPr>
          <w:rFonts w:hint="eastAsia" w:ascii="微软雅黑" w:hAnsi="微软雅黑"/>
          <w:sz w:val="18"/>
          <w:lang w:val="en-US"/>
        </w:rPr>
        <w:t>建筑立面亮度伪彩图</w:t>
      </w:r>
      <w:bookmarkEnd w:id="38"/>
    </w:p>
    <w:bookmarkEnd w:id="36"/>
    <w:p w14:paraId="1519841B">
      <w:pPr>
        <w:pStyle w:val="15"/>
        <w:spacing w:before="240" w:line="360" w:lineRule="auto"/>
        <w:ind w:firstLine="360"/>
        <w:jc w:val="center"/>
        <w:rPr>
          <w:rFonts w:hint="eastAsia"/>
          <w:sz w:val="23"/>
          <w:szCs w:val="23"/>
        </w:rPr>
      </w:pPr>
      <w:r>
        <w:rPr>
          <w:rFonts w:hint="eastAsia" w:ascii="微软雅黑" w:hAnsi="微软雅黑"/>
          <w:sz w:val="18"/>
          <w:szCs w:val="18"/>
        </w:rPr>
        <w:t>表6</w:t>
      </w:r>
      <w:r>
        <w:rPr>
          <w:rFonts w:ascii="微软雅黑" w:hAnsi="微软雅黑"/>
          <w:sz w:val="18"/>
          <w:szCs w:val="18"/>
        </w:rPr>
        <w:t xml:space="preserve"> </w:t>
      </w:r>
      <w:r>
        <w:rPr>
          <w:rFonts w:hint="eastAsia" w:ascii="微软雅黑" w:hAnsi="微软雅黑"/>
          <w:sz w:val="18"/>
          <w:szCs w:val="18"/>
        </w:rPr>
        <w:t>显示屏表面平均亮度</w:t>
      </w:r>
    </w:p>
    <w:tbl>
      <w:tblPr>
        <w:tblStyle w:val="24"/>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394"/>
      </w:tblGrid>
      <w:tr w14:paraId="7950C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4678" w:type="dxa"/>
            <w:tcBorders>
              <w:top w:val="single" w:color="auto" w:sz="4" w:space="0"/>
              <w:left w:val="single" w:color="auto" w:sz="4" w:space="0"/>
              <w:bottom w:val="single" w:color="auto" w:sz="4" w:space="0"/>
              <w:right w:val="single" w:color="auto" w:sz="4" w:space="0"/>
            </w:tcBorders>
            <w:shd w:val="clear" w:color="auto" w:fill="F2F2F2"/>
            <w:vAlign w:val="center"/>
          </w:tcPr>
          <w:p w14:paraId="0EEDB41D">
            <w:pPr>
              <w:jc w:val="center"/>
              <w:rPr>
                <w:b/>
                <w:bCs/>
                <w:sz w:val="18"/>
                <w:szCs w:val="16"/>
              </w:rPr>
            </w:pPr>
            <w:bookmarkStart w:id="39" w:name="显示屏表面平均亮度表"/>
            <w:r>
              <w:rPr>
                <w:rFonts w:hint="eastAsia"/>
                <w:b/>
                <w:bCs/>
                <w:sz w:val="18"/>
                <w:szCs w:val="16"/>
              </w:rPr>
              <w:t>名称</w:t>
            </w:r>
          </w:p>
        </w:tc>
        <w:tc>
          <w:tcPr>
            <w:tcW w:w="4394" w:type="dxa"/>
            <w:tcBorders>
              <w:top w:val="single" w:color="auto" w:sz="4" w:space="0"/>
              <w:left w:val="single" w:color="auto" w:sz="4" w:space="0"/>
              <w:bottom w:val="single" w:color="auto" w:sz="4" w:space="0"/>
              <w:right w:val="single" w:color="auto" w:sz="4" w:space="0"/>
            </w:tcBorders>
            <w:shd w:val="clear" w:color="auto" w:fill="F2F2F2"/>
            <w:vAlign w:val="center"/>
          </w:tcPr>
          <w:p w14:paraId="502367C5">
            <w:pPr>
              <w:jc w:val="center"/>
              <w:rPr>
                <w:b/>
                <w:bCs/>
                <w:sz w:val="18"/>
                <w:szCs w:val="16"/>
              </w:rPr>
            </w:pPr>
            <w:r>
              <w:rPr>
                <w:rFonts w:hint="eastAsia" w:ascii="微软雅黑" w:hAnsi="微软雅黑"/>
                <w:b/>
                <w:bCs/>
                <w:sz w:val="18"/>
                <w:szCs w:val="18"/>
              </w:rPr>
              <w:t>显示屏表面</w:t>
            </w:r>
            <w:r>
              <w:rPr>
                <w:rFonts w:hint="eastAsia"/>
                <w:b/>
                <w:bCs/>
                <w:sz w:val="18"/>
                <w:szCs w:val="16"/>
              </w:rPr>
              <w:t>平均亮度（cd/m</w:t>
            </w:r>
            <w:r>
              <w:rPr>
                <w:rFonts w:hint="eastAsia"/>
                <w:b/>
                <w:bCs/>
                <w:sz w:val="18"/>
                <w:szCs w:val="16"/>
                <w:vertAlign w:val="superscript"/>
              </w:rPr>
              <w:t>2</w:t>
            </w:r>
            <w:r>
              <w:rPr>
                <w:rFonts w:hint="eastAsia"/>
                <w:b/>
                <w:bCs/>
                <w:sz w:val="18"/>
                <w:szCs w:val="16"/>
              </w:rPr>
              <w:t>）</w:t>
            </w:r>
          </w:p>
        </w:tc>
      </w:tr>
      <w:tr w14:paraId="401A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678" w:type="dxa"/>
            <w:tcBorders>
              <w:top w:val="single" w:color="auto" w:sz="4" w:space="0"/>
              <w:left w:val="single" w:color="auto" w:sz="4" w:space="0"/>
              <w:bottom w:val="single" w:color="auto" w:sz="4" w:space="0"/>
              <w:right w:val="single" w:color="auto" w:sz="4" w:space="0"/>
            </w:tcBorders>
            <w:vAlign w:val="center"/>
          </w:tcPr>
          <w:p w14:paraId="2A553642">
            <w:pPr>
              <w:jc w:val="center"/>
              <w:rPr>
                <w:rFonts w:hint="eastAsia" w:eastAsia="微软雅黑"/>
                <w:sz w:val="18"/>
                <w:szCs w:val="16"/>
                <w:lang w:val="en-US" w:eastAsia="zh-CN"/>
              </w:rPr>
            </w:pPr>
            <w:r>
              <w:rPr>
                <w:rFonts w:hint="eastAsia"/>
                <w:sz w:val="18"/>
                <w:szCs w:val="16"/>
                <w:lang w:val="en-US" w:eastAsia="zh-CN"/>
              </w:rPr>
              <w:t>显示屏</w:t>
            </w:r>
          </w:p>
        </w:tc>
        <w:tc>
          <w:tcPr>
            <w:tcW w:w="4394" w:type="dxa"/>
            <w:tcBorders>
              <w:top w:val="single" w:color="auto" w:sz="4" w:space="0"/>
              <w:left w:val="single" w:color="auto" w:sz="4" w:space="0"/>
              <w:bottom w:val="single" w:color="auto" w:sz="4" w:space="0"/>
              <w:right w:val="single" w:color="auto" w:sz="4" w:space="0"/>
            </w:tcBorders>
            <w:vAlign w:val="center"/>
          </w:tcPr>
          <w:p w14:paraId="220F4D6E">
            <w:pPr>
              <w:jc w:val="center"/>
              <w:rPr>
                <w:rFonts w:hint="default" w:eastAsia="微软雅黑"/>
                <w:sz w:val="18"/>
                <w:szCs w:val="16"/>
                <w:lang w:val="en-US" w:eastAsia="zh-CN"/>
              </w:rPr>
            </w:pPr>
            <w:r>
              <w:rPr>
                <w:rFonts w:hint="eastAsia"/>
                <w:sz w:val="18"/>
                <w:szCs w:val="16"/>
                <w:lang w:val="en-US" w:eastAsia="zh-CN"/>
              </w:rPr>
              <w:t>100</w:t>
            </w:r>
          </w:p>
        </w:tc>
      </w:tr>
      <w:bookmarkEnd w:id="39"/>
    </w:tbl>
    <w:p w14:paraId="4BCC85F7">
      <w:bookmarkStart w:id="40" w:name="_Toc172042368"/>
    </w:p>
    <w:p w14:paraId="003C27C1">
      <w:r>
        <w:rPr>
          <w:rFonts w:hint="eastAsia"/>
          <w:sz w:val="18"/>
          <w:szCs w:val="16"/>
        </w:rPr>
        <w:t>注：若表格中无数据，表示项目中未设置显示屏。</w:t>
      </w:r>
    </w:p>
    <w:p w14:paraId="1ECDD47B">
      <w:pPr>
        <w:pStyle w:val="2"/>
        <w:ind w:left="432" w:hanging="432"/>
      </w:pPr>
      <w:r>
        <w:t>评价结论</w:t>
      </w:r>
      <w:bookmarkEnd w:id="40"/>
    </w:p>
    <w:p w14:paraId="595D4375">
      <w:pPr>
        <w:ind w:firstLine="420" w:firstLineChars="200"/>
        <w:rPr>
          <w:rFonts w:hint="eastAsia" w:ascii="微软雅黑" w:hAnsi="微软雅黑"/>
        </w:rPr>
      </w:pPr>
      <w:r>
        <w:rPr>
          <w:rFonts w:hint="eastAsia" w:ascii="微软雅黑" w:hAnsi="微软雅黑"/>
        </w:rPr>
        <w:t>本项目应用Dali软件，依据《绿色建筑评价标准》GB/T 50378第8.2.7条的要求，结合《室外照明干扰光限制规范》GB/T 35626及《室外照明干扰光限制规范》GB/T 3562等相关标准，对夜景照明光污染进行了模拟分析。</w:t>
      </w:r>
      <w:r>
        <w:rPr>
          <w:rFonts w:ascii="微软雅黑" w:hAnsi="微软雅黑"/>
        </w:rPr>
        <w:t>本项目</w:t>
      </w:r>
      <w:r>
        <w:rPr>
          <w:rFonts w:hint="eastAsia" w:ascii="微软雅黑" w:hAnsi="微软雅黑"/>
        </w:rPr>
        <w:t>位于</w:t>
      </w:r>
      <w:bookmarkStart w:id="41" w:name="环境区域3"/>
      <w:r>
        <w:rPr>
          <w:rFonts w:hint="eastAsia" w:ascii="微软雅黑" w:hAnsi="微软雅黑"/>
        </w:rPr>
        <w:t>E</w:t>
      </w:r>
      <w:r>
        <w:rPr>
          <w:rFonts w:ascii="微软雅黑" w:hAnsi="微软雅黑"/>
        </w:rPr>
        <w:t>3</w:t>
      </w:r>
      <w:bookmarkEnd w:id="41"/>
      <w:r>
        <w:rPr>
          <w:rFonts w:hint="eastAsia" w:ascii="微软雅黑" w:hAnsi="微软雅黑"/>
        </w:rPr>
        <w:t>区，结合标准要求分析达标评价</w:t>
      </w:r>
      <w:r>
        <w:rPr>
          <w:rFonts w:ascii="微软雅黑" w:hAnsi="微软雅黑"/>
        </w:rPr>
        <w:t>如下：</w:t>
      </w:r>
    </w:p>
    <w:p w14:paraId="69F1C062">
      <w:pPr>
        <w:spacing w:before="240"/>
        <w:ind w:firstLine="360" w:firstLineChars="200"/>
        <w:jc w:val="center"/>
        <w:rPr>
          <w:rFonts w:hint="eastAsia" w:ascii="微软雅黑" w:hAnsi="微软雅黑"/>
        </w:rPr>
      </w:pPr>
      <w:r>
        <w:rPr>
          <w:rFonts w:hint="eastAsia" w:ascii="微软雅黑" w:hAnsi="微软雅黑"/>
          <w:sz w:val="18"/>
          <w:szCs w:val="18"/>
        </w:rPr>
        <w:t>表7</w:t>
      </w:r>
      <w:r>
        <w:rPr>
          <w:rFonts w:ascii="微软雅黑" w:hAnsi="微软雅黑"/>
          <w:sz w:val="18"/>
          <w:szCs w:val="18"/>
        </w:rPr>
        <w:t xml:space="preserve"> </w:t>
      </w:r>
      <w:r>
        <w:rPr>
          <w:rFonts w:hint="eastAsia" w:ascii="微软雅黑" w:hAnsi="微软雅黑"/>
          <w:sz w:val="18"/>
          <w:szCs w:val="18"/>
        </w:rPr>
        <w:t>光污染评估结论表</w:t>
      </w:r>
    </w:p>
    <w:tbl>
      <w:tblPr>
        <w:tblStyle w:val="24"/>
        <w:tblpPr w:leftFromText="180" w:rightFromText="180" w:vertAnchor="text" w:horzAnchor="margin" w:tblpY="122"/>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178"/>
        <w:gridCol w:w="2178"/>
        <w:gridCol w:w="2178"/>
        <w:gridCol w:w="1455"/>
        <w:gridCol w:w="1297"/>
      </w:tblGrid>
      <w:tr w14:paraId="4BE70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26" w:hRule="atLeast"/>
          <w:tblHeader/>
        </w:trPr>
        <w:tc>
          <w:tcPr>
            <w:tcW w:w="1173" w:type="pct"/>
            <w:shd w:val="clear" w:color="auto" w:fill="E7E6E6"/>
            <w:vAlign w:val="center"/>
          </w:tcPr>
          <w:p w14:paraId="7A6E6A7B">
            <w:pPr>
              <w:jc w:val="center"/>
              <w:rPr>
                <w:b/>
                <w:bCs/>
                <w:sz w:val="18"/>
                <w:szCs w:val="18"/>
              </w:rPr>
            </w:pPr>
            <w:r>
              <w:rPr>
                <w:b/>
                <w:bCs/>
                <w:sz w:val="18"/>
                <w:szCs w:val="18"/>
              </w:rPr>
              <w:t>标准要求</w:t>
            </w:r>
          </w:p>
        </w:tc>
        <w:tc>
          <w:tcPr>
            <w:tcW w:w="1173" w:type="pct"/>
            <w:shd w:val="clear" w:color="auto" w:fill="E7E6E6"/>
            <w:vAlign w:val="center"/>
          </w:tcPr>
          <w:p w14:paraId="78F7ECB0">
            <w:pPr>
              <w:jc w:val="center"/>
              <w:rPr>
                <w:b/>
                <w:bCs/>
                <w:sz w:val="18"/>
                <w:szCs w:val="18"/>
              </w:rPr>
            </w:pPr>
            <w:r>
              <w:rPr>
                <w:rFonts w:hint="eastAsia"/>
                <w:b/>
                <w:bCs/>
                <w:sz w:val="18"/>
                <w:szCs w:val="18"/>
              </w:rPr>
              <w:t>模拟结果</w:t>
            </w:r>
          </w:p>
        </w:tc>
        <w:tc>
          <w:tcPr>
            <w:tcW w:w="1173" w:type="pct"/>
            <w:shd w:val="clear" w:color="auto" w:fill="E7E6E6"/>
            <w:vAlign w:val="center"/>
          </w:tcPr>
          <w:p w14:paraId="5A400D74">
            <w:pPr>
              <w:jc w:val="center"/>
              <w:rPr>
                <w:b/>
                <w:bCs/>
                <w:sz w:val="18"/>
                <w:szCs w:val="18"/>
              </w:rPr>
            </w:pPr>
            <w:r>
              <w:rPr>
                <w:rFonts w:hint="eastAsia"/>
                <w:b/>
                <w:bCs/>
                <w:sz w:val="18"/>
                <w:szCs w:val="18"/>
              </w:rPr>
              <w:t>标准限值（最大值）</w:t>
            </w:r>
          </w:p>
        </w:tc>
        <w:tc>
          <w:tcPr>
            <w:tcW w:w="1481" w:type="pct"/>
            <w:gridSpan w:val="2"/>
            <w:shd w:val="clear" w:color="auto" w:fill="E7E6E6"/>
            <w:vAlign w:val="center"/>
          </w:tcPr>
          <w:p w14:paraId="6650FC2C">
            <w:pPr>
              <w:jc w:val="center"/>
              <w:rPr>
                <w:b/>
                <w:bCs/>
                <w:sz w:val="18"/>
                <w:szCs w:val="18"/>
              </w:rPr>
            </w:pPr>
            <w:r>
              <w:rPr>
                <w:rFonts w:hint="eastAsia"/>
                <w:b/>
                <w:bCs/>
                <w:sz w:val="18"/>
                <w:szCs w:val="18"/>
              </w:rPr>
              <w:t>得分</w:t>
            </w:r>
          </w:p>
        </w:tc>
      </w:tr>
      <w:tr w14:paraId="12465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73" w:type="pct"/>
            <w:shd w:val="clear" w:color="auto" w:fill="auto"/>
            <w:vAlign w:val="center"/>
          </w:tcPr>
          <w:p w14:paraId="78EEEA73">
            <w:pPr>
              <w:jc w:val="center"/>
              <w:rPr>
                <w:rFonts w:hint="eastAsia" w:ascii="微软雅黑" w:hAnsi="微软雅黑"/>
                <w:sz w:val="18"/>
                <w:szCs w:val="18"/>
              </w:rPr>
            </w:pPr>
            <w:r>
              <w:rPr>
                <w:rFonts w:ascii="微软雅黑" w:hAnsi="微软雅黑"/>
                <w:sz w:val="18"/>
                <w:szCs w:val="18"/>
              </w:rPr>
              <w:t>垂直面照度Ev(lx)</w:t>
            </w:r>
          </w:p>
        </w:tc>
        <w:tc>
          <w:tcPr>
            <w:tcW w:w="1173" w:type="pct"/>
            <w:vAlign w:val="center"/>
          </w:tcPr>
          <w:p w14:paraId="00A52FF9">
            <w:pPr>
              <w:jc w:val="center"/>
              <w:rPr>
                <w:rFonts w:hint="eastAsia" w:ascii="微软雅黑" w:hAnsi="微软雅黑"/>
                <w:sz w:val="18"/>
                <w:szCs w:val="18"/>
              </w:rPr>
            </w:pPr>
            <w:bookmarkStart w:id="42" w:name="垂直面照度模拟结果2"/>
            <w:r>
              <w:rPr>
                <w:rFonts w:hint="eastAsia" w:ascii="微软雅黑" w:hAnsi="微软雅黑"/>
                <w:sz w:val="18"/>
                <w:szCs w:val="18"/>
              </w:rPr>
              <w:t>2</w:t>
            </w:r>
            <w:bookmarkEnd w:id="42"/>
          </w:p>
        </w:tc>
        <w:tc>
          <w:tcPr>
            <w:tcW w:w="1173" w:type="pct"/>
            <w:vAlign w:val="center"/>
          </w:tcPr>
          <w:p w14:paraId="5C2E100A">
            <w:pPr>
              <w:jc w:val="center"/>
              <w:rPr>
                <w:rFonts w:hint="eastAsia" w:ascii="微软雅黑" w:hAnsi="微软雅黑"/>
                <w:sz w:val="18"/>
                <w:szCs w:val="18"/>
              </w:rPr>
            </w:pPr>
            <w:bookmarkStart w:id="43" w:name="垂直面照度非熄灯时段标准限值"/>
            <w:r>
              <w:rPr>
                <w:rFonts w:hint="eastAsia" w:ascii="微软雅黑" w:hAnsi="微软雅黑"/>
                <w:sz w:val="18"/>
                <w:szCs w:val="18"/>
              </w:rPr>
              <w:t>10</w:t>
            </w:r>
            <w:bookmarkEnd w:id="43"/>
          </w:p>
        </w:tc>
        <w:tc>
          <w:tcPr>
            <w:tcW w:w="783" w:type="pct"/>
            <w:vAlign w:val="center"/>
          </w:tcPr>
          <w:p w14:paraId="6E2A2C65">
            <w:pPr>
              <w:jc w:val="center"/>
              <w:rPr>
                <w:rFonts w:hint="eastAsia" w:ascii="微软雅黑" w:hAnsi="微软雅黑"/>
                <w:sz w:val="18"/>
                <w:szCs w:val="18"/>
              </w:rPr>
            </w:pPr>
            <w:bookmarkStart w:id="44" w:name="垂直面照度得分"/>
            <w:r>
              <w:rPr>
                <w:rFonts w:hint="eastAsia" w:ascii="微软雅黑" w:hAnsi="微软雅黑"/>
                <w:sz w:val="18"/>
                <w:szCs w:val="18"/>
              </w:rPr>
              <w:t>5</w:t>
            </w:r>
            <w:bookmarkEnd w:id="44"/>
            <w:r>
              <w:rPr>
                <w:rFonts w:hint="eastAsia" w:ascii="微软雅黑" w:hAnsi="微软雅黑"/>
                <w:sz w:val="18"/>
                <w:szCs w:val="18"/>
              </w:rPr>
              <w:t>分</w:t>
            </w:r>
          </w:p>
        </w:tc>
        <w:tc>
          <w:tcPr>
            <w:tcW w:w="698" w:type="pct"/>
            <w:vMerge w:val="restart"/>
            <w:vAlign w:val="center"/>
          </w:tcPr>
          <w:p w14:paraId="62F5FF0C">
            <w:pPr>
              <w:jc w:val="center"/>
              <w:rPr>
                <w:rFonts w:hint="eastAsia" w:ascii="微软雅黑" w:hAnsi="微软雅黑"/>
                <w:sz w:val="18"/>
                <w:szCs w:val="18"/>
              </w:rPr>
            </w:pPr>
            <w:r>
              <w:rPr>
                <w:rFonts w:hint="eastAsia" w:ascii="微软雅黑" w:hAnsi="微软雅黑"/>
                <w:sz w:val="18"/>
                <w:szCs w:val="18"/>
              </w:rPr>
              <w:t>共</w:t>
            </w:r>
            <w:bookmarkStart w:id="45" w:name="总评价得分"/>
            <w:r>
              <w:rPr>
                <w:rFonts w:hint="eastAsia" w:ascii="微软雅黑" w:hAnsi="微软雅黑"/>
                <w:b/>
                <w:bCs/>
                <w:sz w:val="18"/>
                <w:szCs w:val="18"/>
              </w:rPr>
              <w:t>10</w:t>
            </w:r>
            <w:bookmarkEnd w:id="45"/>
            <w:r>
              <w:rPr>
                <w:rFonts w:hint="eastAsia" w:ascii="微软雅黑" w:hAnsi="微软雅黑"/>
                <w:sz w:val="18"/>
                <w:szCs w:val="18"/>
              </w:rPr>
              <w:t>分</w:t>
            </w:r>
          </w:p>
        </w:tc>
      </w:tr>
      <w:tr w14:paraId="644CC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73" w:type="pct"/>
            <w:shd w:val="clear" w:color="auto" w:fill="auto"/>
            <w:vAlign w:val="center"/>
          </w:tcPr>
          <w:p w14:paraId="30DCD3E3">
            <w:pPr>
              <w:jc w:val="center"/>
              <w:rPr>
                <w:rFonts w:hint="eastAsia" w:ascii="微软雅黑" w:hAnsi="微软雅黑"/>
                <w:sz w:val="18"/>
                <w:szCs w:val="18"/>
              </w:rPr>
            </w:pPr>
            <w:r>
              <w:rPr>
                <w:rFonts w:hint="eastAsia" w:ascii="微软雅黑" w:hAnsi="微软雅黑"/>
                <w:sz w:val="18"/>
                <w:szCs w:val="18"/>
              </w:rPr>
              <w:t>平均</w:t>
            </w:r>
            <w:r>
              <w:rPr>
                <w:rFonts w:ascii="微软雅黑" w:hAnsi="微软雅黑"/>
                <w:sz w:val="18"/>
                <w:szCs w:val="18"/>
              </w:rPr>
              <w:t>亮度(cd/m</w:t>
            </w:r>
            <w:r>
              <w:rPr>
                <w:rFonts w:ascii="微软雅黑" w:hAnsi="微软雅黑"/>
                <w:sz w:val="18"/>
                <w:szCs w:val="18"/>
                <w:vertAlign w:val="superscript"/>
              </w:rPr>
              <w:t>2</w:t>
            </w:r>
            <w:r>
              <w:rPr>
                <w:rFonts w:ascii="微软雅黑" w:hAnsi="微软雅黑"/>
                <w:sz w:val="18"/>
                <w:szCs w:val="18"/>
              </w:rPr>
              <w:t>)</w:t>
            </w:r>
          </w:p>
        </w:tc>
        <w:tc>
          <w:tcPr>
            <w:tcW w:w="1173" w:type="pct"/>
            <w:vAlign w:val="center"/>
          </w:tcPr>
          <w:p w14:paraId="22B96BAE">
            <w:pPr>
              <w:jc w:val="center"/>
              <w:rPr>
                <w:rFonts w:hint="eastAsia" w:ascii="微软雅黑" w:hAnsi="微软雅黑"/>
                <w:sz w:val="20"/>
              </w:rPr>
            </w:pPr>
            <w:bookmarkStart w:id="46" w:name="平均亮度模拟结果"/>
            <w:r>
              <w:rPr>
                <w:rFonts w:hint="eastAsia" w:ascii="微软雅黑" w:hAnsi="微软雅黑"/>
                <w:sz w:val="18"/>
                <w:szCs w:val="18"/>
              </w:rPr>
              <w:t>200</w:t>
            </w:r>
            <w:bookmarkEnd w:id="46"/>
          </w:p>
        </w:tc>
        <w:tc>
          <w:tcPr>
            <w:tcW w:w="1173" w:type="pct"/>
            <w:vAlign w:val="center"/>
          </w:tcPr>
          <w:p w14:paraId="3E64BF3D">
            <w:pPr>
              <w:jc w:val="center"/>
              <w:rPr>
                <w:rFonts w:hint="eastAsia" w:ascii="微软雅黑" w:hAnsi="微软雅黑"/>
                <w:sz w:val="18"/>
                <w:szCs w:val="18"/>
              </w:rPr>
            </w:pPr>
            <w:bookmarkStart w:id="47" w:name="平均亮度标准限值"/>
            <w:r>
              <w:rPr>
                <w:rFonts w:hint="eastAsia" w:ascii="微软雅黑" w:hAnsi="微软雅黑"/>
                <w:sz w:val="18"/>
                <w:szCs w:val="18"/>
              </w:rPr>
              <w:t>600</w:t>
            </w:r>
            <w:bookmarkEnd w:id="47"/>
          </w:p>
        </w:tc>
        <w:tc>
          <w:tcPr>
            <w:tcW w:w="783" w:type="pct"/>
            <w:vAlign w:val="center"/>
          </w:tcPr>
          <w:p w14:paraId="3A095683">
            <w:pPr>
              <w:jc w:val="center"/>
              <w:rPr>
                <w:rFonts w:hint="eastAsia" w:ascii="微软雅黑" w:hAnsi="微软雅黑"/>
                <w:sz w:val="18"/>
                <w:szCs w:val="18"/>
              </w:rPr>
            </w:pPr>
            <w:bookmarkStart w:id="48" w:name="平均亮度得分"/>
            <w:r>
              <w:rPr>
                <w:rFonts w:hint="eastAsia" w:ascii="微软雅黑" w:hAnsi="微软雅黑"/>
                <w:sz w:val="18"/>
                <w:szCs w:val="18"/>
              </w:rPr>
              <w:t>5</w:t>
            </w:r>
            <w:bookmarkEnd w:id="48"/>
            <w:r>
              <w:rPr>
                <w:rFonts w:hint="eastAsia" w:ascii="微软雅黑" w:hAnsi="微软雅黑"/>
                <w:sz w:val="18"/>
                <w:szCs w:val="18"/>
              </w:rPr>
              <w:t>分</w:t>
            </w:r>
          </w:p>
        </w:tc>
        <w:tc>
          <w:tcPr>
            <w:tcW w:w="698" w:type="pct"/>
            <w:vMerge w:val="continue"/>
          </w:tcPr>
          <w:p w14:paraId="1348A0C8">
            <w:pPr>
              <w:jc w:val="center"/>
              <w:rPr>
                <w:rFonts w:hint="eastAsia" w:ascii="微软雅黑" w:hAnsi="微软雅黑"/>
                <w:sz w:val="18"/>
                <w:szCs w:val="18"/>
              </w:rPr>
            </w:pPr>
          </w:p>
        </w:tc>
      </w:tr>
    </w:tbl>
    <w:p w14:paraId="71684436">
      <w:pPr>
        <w:pStyle w:val="15"/>
        <w:spacing w:line="360" w:lineRule="auto"/>
        <w:ind w:firstLine="0" w:firstLineChars="0"/>
        <w:rPr>
          <w:rFonts w:hint="eastAsia" w:ascii="微软雅黑" w:hAnsi="微软雅黑"/>
        </w:rPr>
      </w:pPr>
    </w:p>
    <w:p w14:paraId="480DB80A">
      <w:pPr>
        <w:pStyle w:val="15"/>
        <w:spacing w:line="360" w:lineRule="auto"/>
        <w:ind w:firstLine="0" w:firstLineChars="0"/>
        <w:rPr>
          <w:rFonts w:ascii="Times New Roman" w:hAnsi="Times New Roman"/>
        </w:rPr>
      </w:pPr>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Rounded MT Bold">
    <w:panose1 w:val="020F0704030504030204"/>
    <w:charset w:val="00"/>
    <w:family w:val="auto"/>
    <w:pitch w:val="default"/>
    <w:sig w:usb0="00000003" w:usb1="00000000" w:usb2="00000000" w:usb3="00000000" w:csb0="2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EE112">
    <w:pPr>
      <w:pStyle w:val="18"/>
      <w:tabs>
        <w:tab w:val="center" w:pos="4535"/>
        <w:tab w:val="right" w:pos="9070"/>
        <w:tab w:val="clear" w:pos="4153"/>
        <w:tab w:val="clear" w:pos="8306"/>
      </w:tabs>
    </w:pPr>
    <w:r>
      <w:fldChar w:fldCharType="begin"/>
    </w:r>
    <w:r>
      <w:instrText xml:space="preserve"> HYPERLINK "http://www.gbsware.cn/" </w:instrText>
    </w:r>
    <w:r>
      <w:fldChar w:fldCharType="separate"/>
    </w:r>
    <w:r>
      <w:rPr>
        <w:rStyle w:val="31"/>
        <w:u w:val="none"/>
      </w:rPr>
      <w:t>http://www.gbsware.cn/</w:t>
    </w:r>
    <w:r>
      <w:rPr>
        <w:rStyle w:val="31"/>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F4D3E9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336C8">
    <w:pPr>
      <w:pStyle w:val="18"/>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6EC7A">
    <w:pPr>
      <w:pStyle w:val="18"/>
      <w:tabs>
        <w:tab w:val="center" w:pos="4535"/>
        <w:tab w:val="right" w:pos="9070"/>
        <w:tab w:val="clear" w:pos="4153"/>
        <w:tab w:val="clear" w:pos="8306"/>
      </w:tabs>
    </w:pPr>
    <w:r>
      <w:fldChar w:fldCharType="begin"/>
    </w:r>
    <w:r>
      <w:instrText xml:space="preserve"> HYPERLINK "http://www.gbsware.cn/" </w:instrText>
    </w:r>
    <w:r>
      <w:fldChar w:fldCharType="separate"/>
    </w:r>
    <w:r>
      <w:rPr>
        <w:rStyle w:val="31"/>
        <w:u w:val="none"/>
      </w:rPr>
      <w:t>http://www.gbsware.cn/</w:t>
    </w:r>
    <w:r>
      <w:rPr>
        <w:rStyle w:val="31"/>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16</w:t>
    </w:r>
    <w:r>
      <w:fldChar w:fldCharType="end"/>
    </w:r>
    <w:r>
      <w:tab/>
    </w:r>
    <w:r>
      <w:t>Dali</w:t>
    </w:r>
  </w:p>
  <w:p w14:paraId="159ADC70">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76A3F">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A18C2">
    <w:pPr>
      <w:pStyle w:val="19"/>
      <w:pBdr>
        <w:bottom w:val="single" w:color="auto" w:sz="6" w:space="2"/>
      </w:pBdr>
      <w:spacing w:line="240" w:lineRule="auto"/>
      <w:rPr>
        <w:sz w:val="18"/>
        <w:szCs w:val="15"/>
      </w:rPr>
    </w:pPr>
    <w:r>
      <w:rPr>
        <w:lang w:val="en-US"/>
      </w:rPr>
      <w:drawing>
        <wp:inline distT="0" distB="0" distL="0" distR="0">
          <wp:extent cx="1009650" cy="278130"/>
          <wp:effectExtent l="0" t="0" r="0" b="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9650" cy="278130"/>
                  </a:xfrm>
                  <a:prstGeom prst="rect">
                    <a:avLst/>
                  </a:prstGeom>
                  <a:noFill/>
                  <a:ln>
                    <a:noFill/>
                  </a:ln>
                </pic:spPr>
              </pic:pic>
            </a:graphicData>
          </a:graphic>
        </wp:inline>
      </w:drawing>
    </w:r>
    <w:r>
      <w:rPr>
        <w:rFonts w:hint="eastAsia"/>
      </w:rPr>
      <w:t xml:space="preserve">            </w:t>
    </w:r>
    <w:r>
      <w:t xml:space="preserve">                             </w:t>
    </w:r>
    <w:r>
      <w:rPr>
        <w:rFonts w:hint="eastAsia"/>
      </w:rPr>
      <w:t xml:space="preserve">    </w:t>
    </w:r>
    <w:r>
      <w:rPr>
        <w:rFonts w:hint="eastAsia"/>
        <w:sz w:val="18"/>
        <w:szCs w:val="15"/>
      </w:rPr>
      <w:t>室外夜景照明光污染分析报告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1FCA3446"/>
    <w:multiLevelType w:val="multilevel"/>
    <w:tmpl w:val="1FCA3446"/>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225679D0"/>
    <w:multiLevelType w:val="multilevel"/>
    <w:tmpl w:val="225679D0"/>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2C3F3590"/>
    <w:multiLevelType w:val="multilevel"/>
    <w:tmpl w:val="2C3F3590"/>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7DD73D9"/>
    <w:rsid w:val="00015430"/>
    <w:rsid w:val="00020718"/>
    <w:rsid w:val="00020FE8"/>
    <w:rsid w:val="000224C7"/>
    <w:rsid w:val="00022F54"/>
    <w:rsid w:val="00022FE4"/>
    <w:rsid w:val="00023009"/>
    <w:rsid w:val="000257BF"/>
    <w:rsid w:val="0003015C"/>
    <w:rsid w:val="00036E12"/>
    <w:rsid w:val="0003718D"/>
    <w:rsid w:val="00037A4C"/>
    <w:rsid w:val="000431C3"/>
    <w:rsid w:val="00045796"/>
    <w:rsid w:val="00047BEF"/>
    <w:rsid w:val="00047D27"/>
    <w:rsid w:val="00060BD8"/>
    <w:rsid w:val="000631B3"/>
    <w:rsid w:val="00063451"/>
    <w:rsid w:val="0006507C"/>
    <w:rsid w:val="00070454"/>
    <w:rsid w:val="000725A9"/>
    <w:rsid w:val="000739BB"/>
    <w:rsid w:val="00073D32"/>
    <w:rsid w:val="00073E94"/>
    <w:rsid w:val="00075C7F"/>
    <w:rsid w:val="0007642D"/>
    <w:rsid w:val="000805DC"/>
    <w:rsid w:val="000807BF"/>
    <w:rsid w:val="00083664"/>
    <w:rsid w:val="00083FC5"/>
    <w:rsid w:val="0008774C"/>
    <w:rsid w:val="000926EC"/>
    <w:rsid w:val="00094B16"/>
    <w:rsid w:val="0009672C"/>
    <w:rsid w:val="0009772D"/>
    <w:rsid w:val="00097A42"/>
    <w:rsid w:val="000A3175"/>
    <w:rsid w:val="000A6EC1"/>
    <w:rsid w:val="000A7482"/>
    <w:rsid w:val="000B2B33"/>
    <w:rsid w:val="000B51D1"/>
    <w:rsid w:val="000B7485"/>
    <w:rsid w:val="000B7505"/>
    <w:rsid w:val="000B762E"/>
    <w:rsid w:val="000C1B2C"/>
    <w:rsid w:val="000C2578"/>
    <w:rsid w:val="000C6E24"/>
    <w:rsid w:val="000C731C"/>
    <w:rsid w:val="000C735A"/>
    <w:rsid w:val="000D17B1"/>
    <w:rsid w:val="000D17C2"/>
    <w:rsid w:val="000D1936"/>
    <w:rsid w:val="000D21E0"/>
    <w:rsid w:val="000D68D1"/>
    <w:rsid w:val="000E3005"/>
    <w:rsid w:val="000F0D6A"/>
    <w:rsid w:val="000F1573"/>
    <w:rsid w:val="000F48FD"/>
    <w:rsid w:val="000F7EF2"/>
    <w:rsid w:val="000F7FEF"/>
    <w:rsid w:val="00101764"/>
    <w:rsid w:val="0010266A"/>
    <w:rsid w:val="001037D7"/>
    <w:rsid w:val="00105D20"/>
    <w:rsid w:val="00105DF2"/>
    <w:rsid w:val="001104AC"/>
    <w:rsid w:val="00110A51"/>
    <w:rsid w:val="00111340"/>
    <w:rsid w:val="00112680"/>
    <w:rsid w:val="00113CD2"/>
    <w:rsid w:val="001146C5"/>
    <w:rsid w:val="00117919"/>
    <w:rsid w:val="00122AE1"/>
    <w:rsid w:val="0012473A"/>
    <w:rsid w:val="00127F7F"/>
    <w:rsid w:val="00136510"/>
    <w:rsid w:val="00141170"/>
    <w:rsid w:val="00143ADE"/>
    <w:rsid w:val="001458AD"/>
    <w:rsid w:val="00145FA8"/>
    <w:rsid w:val="001463F5"/>
    <w:rsid w:val="0014776A"/>
    <w:rsid w:val="00150077"/>
    <w:rsid w:val="001511F2"/>
    <w:rsid w:val="00152AD1"/>
    <w:rsid w:val="001549CD"/>
    <w:rsid w:val="001552D6"/>
    <w:rsid w:val="00156154"/>
    <w:rsid w:val="00167208"/>
    <w:rsid w:val="00167833"/>
    <w:rsid w:val="00170E95"/>
    <w:rsid w:val="0017134B"/>
    <w:rsid w:val="001720AC"/>
    <w:rsid w:val="00173D5D"/>
    <w:rsid w:val="00180509"/>
    <w:rsid w:val="00180537"/>
    <w:rsid w:val="00180620"/>
    <w:rsid w:val="001811B7"/>
    <w:rsid w:val="00183C20"/>
    <w:rsid w:val="00191705"/>
    <w:rsid w:val="0019227D"/>
    <w:rsid w:val="00195963"/>
    <w:rsid w:val="001A0E75"/>
    <w:rsid w:val="001A213A"/>
    <w:rsid w:val="001A27B5"/>
    <w:rsid w:val="001A3A15"/>
    <w:rsid w:val="001A47EB"/>
    <w:rsid w:val="001B1802"/>
    <w:rsid w:val="001B5A34"/>
    <w:rsid w:val="001B5E2E"/>
    <w:rsid w:val="001B642B"/>
    <w:rsid w:val="001B6E89"/>
    <w:rsid w:val="001C0284"/>
    <w:rsid w:val="001C1081"/>
    <w:rsid w:val="001C57FE"/>
    <w:rsid w:val="001C6DCA"/>
    <w:rsid w:val="001D49B5"/>
    <w:rsid w:val="001D7C6B"/>
    <w:rsid w:val="001E049F"/>
    <w:rsid w:val="001E157B"/>
    <w:rsid w:val="001E2420"/>
    <w:rsid w:val="001E32B4"/>
    <w:rsid w:val="001E5109"/>
    <w:rsid w:val="001E6EDF"/>
    <w:rsid w:val="001F2E5B"/>
    <w:rsid w:val="001F4724"/>
    <w:rsid w:val="00201BD9"/>
    <w:rsid w:val="00201F05"/>
    <w:rsid w:val="002038AE"/>
    <w:rsid w:val="00203A7D"/>
    <w:rsid w:val="00204D80"/>
    <w:rsid w:val="00213F09"/>
    <w:rsid w:val="00215D2B"/>
    <w:rsid w:val="00216E82"/>
    <w:rsid w:val="0022062D"/>
    <w:rsid w:val="002229C1"/>
    <w:rsid w:val="00224948"/>
    <w:rsid w:val="00226137"/>
    <w:rsid w:val="00227CFD"/>
    <w:rsid w:val="00241D4E"/>
    <w:rsid w:val="00242864"/>
    <w:rsid w:val="002442BB"/>
    <w:rsid w:val="00244792"/>
    <w:rsid w:val="00245F23"/>
    <w:rsid w:val="0025362B"/>
    <w:rsid w:val="002555B8"/>
    <w:rsid w:val="00260EA3"/>
    <w:rsid w:val="002616F6"/>
    <w:rsid w:val="00262B68"/>
    <w:rsid w:val="0027073D"/>
    <w:rsid w:val="0027083D"/>
    <w:rsid w:val="00277CD2"/>
    <w:rsid w:val="00277EFC"/>
    <w:rsid w:val="00283BF0"/>
    <w:rsid w:val="00291AF6"/>
    <w:rsid w:val="002933AC"/>
    <w:rsid w:val="00294303"/>
    <w:rsid w:val="00294F67"/>
    <w:rsid w:val="00294F7E"/>
    <w:rsid w:val="00295D1E"/>
    <w:rsid w:val="0029623B"/>
    <w:rsid w:val="002962CC"/>
    <w:rsid w:val="00297EA9"/>
    <w:rsid w:val="002A2F2E"/>
    <w:rsid w:val="002A3037"/>
    <w:rsid w:val="002A7369"/>
    <w:rsid w:val="002A76C2"/>
    <w:rsid w:val="002A79FB"/>
    <w:rsid w:val="002B0ABE"/>
    <w:rsid w:val="002B0DEC"/>
    <w:rsid w:val="002B2590"/>
    <w:rsid w:val="002B5ABF"/>
    <w:rsid w:val="002B7899"/>
    <w:rsid w:val="002C17A2"/>
    <w:rsid w:val="002C62E3"/>
    <w:rsid w:val="002D25F1"/>
    <w:rsid w:val="002D2888"/>
    <w:rsid w:val="002D2BBC"/>
    <w:rsid w:val="002D4F85"/>
    <w:rsid w:val="002E5393"/>
    <w:rsid w:val="002E574B"/>
    <w:rsid w:val="002E7C19"/>
    <w:rsid w:val="00302C62"/>
    <w:rsid w:val="0030437C"/>
    <w:rsid w:val="003113F4"/>
    <w:rsid w:val="003121F7"/>
    <w:rsid w:val="003123FB"/>
    <w:rsid w:val="00312428"/>
    <w:rsid w:val="00312B73"/>
    <w:rsid w:val="00314D29"/>
    <w:rsid w:val="00317C52"/>
    <w:rsid w:val="0032366D"/>
    <w:rsid w:val="00330BA7"/>
    <w:rsid w:val="0033176E"/>
    <w:rsid w:val="00332086"/>
    <w:rsid w:val="00342774"/>
    <w:rsid w:val="0035421F"/>
    <w:rsid w:val="00355840"/>
    <w:rsid w:val="00356224"/>
    <w:rsid w:val="0036330B"/>
    <w:rsid w:val="003642AC"/>
    <w:rsid w:val="00370E69"/>
    <w:rsid w:val="00373096"/>
    <w:rsid w:val="003801FC"/>
    <w:rsid w:val="00380AAF"/>
    <w:rsid w:val="00382080"/>
    <w:rsid w:val="00382F53"/>
    <w:rsid w:val="00383A74"/>
    <w:rsid w:val="00384757"/>
    <w:rsid w:val="00390063"/>
    <w:rsid w:val="00390296"/>
    <w:rsid w:val="00391613"/>
    <w:rsid w:val="00393106"/>
    <w:rsid w:val="003964EA"/>
    <w:rsid w:val="00397121"/>
    <w:rsid w:val="003A0714"/>
    <w:rsid w:val="003A2B52"/>
    <w:rsid w:val="003A2CE1"/>
    <w:rsid w:val="003A3E76"/>
    <w:rsid w:val="003A5353"/>
    <w:rsid w:val="003A54D5"/>
    <w:rsid w:val="003A7032"/>
    <w:rsid w:val="003A7BD4"/>
    <w:rsid w:val="003B1331"/>
    <w:rsid w:val="003B53C9"/>
    <w:rsid w:val="003C056D"/>
    <w:rsid w:val="003C16CB"/>
    <w:rsid w:val="003C5B74"/>
    <w:rsid w:val="003C5FD5"/>
    <w:rsid w:val="003C6146"/>
    <w:rsid w:val="003C61FC"/>
    <w:rsid w:val="003D0076"/>
    <w:rsid w:val="003D11B4"/>
    <w:rsid w:val="003D1FC7"/>
    <w:rsid w:val="003D5C64"/>
    <w:rsid w:val="003E0F67"/>
    <w:rsid w:val="003E39E3"/>
    <w:rsid w:val="003F15EC"/>
    <w:rsid w:val="003F27D2"/>
    <w:rsid w:val="003F60B9"/>
    <w:rsid w:val="003F66A9"/>
    <w:rsid w:val="003F6803"/>
    <w:rsid w:val="00400053"/>
    <w:rsid w:val="00404B64"/>
    <w:rsid w:val="0040698B"/>
    <w:rsid w:val="00406B01"/>
    <w:rsid w:val="00413082"/>
    <w:rsid w:val="00413D56"/>
    <w:rsid w:val="00413D8C"/>
    <w:rsid w:val="004140D8"/>
    <w:rsid w:val="00416829"/>
    <w:rsid w:val="00417136"/>
    <w:rsid w:val="00420487"/>
    <w:rsid w:val="00420DBF"/>
    <w:rsid w:val="00422C0F"/>
    <w:rsid w:val="004237AB"/>
    <w:rsid w:val="00425012"/>
    <w:rsid w:val="0042654D"/>
    <w:rsid w:val="00426C2B"/>
    <w:rsid w:val="00427C7E"/>
    <w:rsid w:val="00430872"/>
    <w:rsid w:val="00430DCC"/>
    <w:rsid w:val="004315D3"/>
    <w:rsid w:val="00431AD1"/>
    <w:rsid w:val="00432639"/>
    <w:rsid w:val="004327CF"/>
    <w:rsid w:val="00433D62"/>
    <w:rsid w:val="00443779"/>
    <w:rsid w:val="00443A24"/>
    <w:rsid w:val="00444025"/>
    <w:rsid w:val="00444C49"/>
    <w:rsid w:val="00446C97"/>
    <w:rsid w:val="00455D17"/>
    <w:rsid w:val="004732C6"/>
    <w:rsid w:val="0047512A"/>
    <w:rsid w:val="004839C8"/>
    <w:rsid w:val="00486B69"/>
    <w:rsid w:val="00486F6E"/>
    <w:rsid w:val="0049058C"/>
    <w:rsid w:val="00493717"/>
    <w:rsid w:val="004A008B"/>
    <w:rsid w:val="004A05AC"/>
    <w:rsid w:val="004A4B10"/>
    <w:rsid w:val="004A5301"/>
    <w:rsid w:val="004A62FA"/>
    <w:rsid w:val="004B0A07"/>
    <w:rsid w:val="004B57D5"/>
    <w:rsid w:val="004C1AC6"/>
    <w:rsid w:val="004C4330"/>
    <w:rsid w:val="004C5D43"/>
    <w:rsid w:val="004D100D"/>
    <w:rsid w:val="004D230F"/>
    <w:rsid w:val="004D239D"/>
    <w:rsid w:val="004D449D"/>
    <w:rsid w:val="004D4831"/>
    <w:rsid w:val="004D66B2"/>
    <w:rsid w:val="004E320A"/>
    <w:rsid w:val="004E426C"/>
    <w:rsid w:val="004E5DEA"/>
    <w:rsid w:val="004E783E"/>
    <w:rsid w:val="004F181A"/>
    <w:rsid w:val="004F2B43"/>
    <w:rsid w:val="004F6059"/>
    <w:rsid w:val="00503038"/>
    <w:rsid w:val="00504173"/>
    <w:rsid w:val="00504F54"/>
    <w:rsid w:val="005051EB"/>
    <w:rsid w:val="00505945"/>
    <w:rsid w:val="00506C00"/>
    <w:rsid w:val="00507065"/>
    <w:rsid w:val="00513A39"/>
    <w:rsid w:val="0051542F"/>
    <w:rsid w:val="0051643F"/>
    <w:rsid w:val="0051646C"/>
    <w:rsid w:val="00521204"/>
    <w:rsid w:val="005215FB"/>
    <w:rsid w:val="00521623"/>
    <w:rsid w:val="00521F68"/>
    <w:rsid w:val="00525FEB"/>
    <w:rsid w:val="00527EF1"/>
    <w:rsid w:val="00531BC0"/>
    <w:rsid w:val="00531C6F"/>
    <w:rsid w:val="00535EF0"/>
    <w:rsid w:val="00540B17"/>
    <w:rsid w:val="00540FE6"/>
    <w:rsid w:val="0054304B"/>
    <w:rsid w:val="005430C1"/>
    <w:rsid w:val="005438CC"/>
    <w:rsid w:val="005449BD"/>
    <w:rsid w:val="00547052"/>
    <w:rsid w:val="00553946"/>
    <w:rsid w:val="00554245"/>
    <w:rsid w:val="00555634"/>
    <w:rsid w:val="00555EF2"/>
    <w:rsid w:val="00560CD5"/>
    <w:rsid w:val="00562B4A"/>
    <w:rsid w:val="00567DFC"/>
    <w:rsid w:val="00570A92"/>
    <w:rsid w:val="0057487A"/>
    <w:rsid w:val="005755BA"/>
    <w:rsid w:val="00575670"/>
    <w:rsid w:val="00580CDE"/>
    <w:rsid w:val="00582EF8"/>
    <w:rsid w:val="00582F87"/>
    <w:rsid w:val="00584084"/>
    <w:rsid w:val="005857E2"/>
    <w:rsid w:val="00591D7B"/>
    <w:rsid w:val="005927FC"/>
    <w:rsid w:val="00594914"/>
    <w:rsid w:val="005955E2"/>
    <w:rsid w:val="00595E32"/>
    <w:rsid w:val="005A0064"/>
    <w:rsid w:val="005A789C"/>
    <w:rsid w:val="005B0295"/>
    <w:rsid w:val="005B290E"/>
    <w:rsid w:val="005B3511"/>
    <w:rsid w:val="005B370C"/>
    <w:rsid w:val="005B66E3"/>
    <w:rsid w:val="005C1293"/>
    <w:rsid w:val="005C5E53"/>
    <w:rsid w:val="005D050E"/>
    <w:rsid w:val="005D14F5"/>
    <w:rsid w:val="005D6617"/>
    <w:rsid w:val="005E5442"/>
    <w:rsid w:val="005E5D67"/>
    <w:rsid w:val="005E6722"/>
    <w:rsid w:val="005E6DB2"/>
    <w:rsid w:val="005E7ECB"/>
    <w:rsid w:val="005F5BA5"/>
    <w:rsid w:val="005F76EF"/>
    <w:rsid w:val="00600212"/>
    <w:rsid w:val="0060186C"/>
    <w:rsid w:val="0060385C"/>
    <w:rsid w:val="00603BD9"/>
    <w:rsid w:val="006047CF"/>
    <w:rsid w:val="00605CEC"/>
    <w:rsid w:val="00606E35"/>
    <w:rsid w:val="00607135"/>
    <w:rsid w:val="0061137B"/>
    <w:rsid w:val="00611A83"/>
    <w:rsid w:val="00611C23"/>
    <w:rsid w:val="006142C8"/>
    <w:rsid w:val="00616D08"/>
    <w:rsid w:val="00617087"/>
    <w:rsid w:val="006170E1"/>
    <w:rsid w:val="00617C37"/>
    <w:rsid w:val="0062034E"/>
    <w:rsid w:val="0062232E"/>
    <w:rsid w:val="006240DC"/>
    <w:rsid w:val="006244C0"/>
    <w:rsid w:val="00633E8E"/>
    <w:rsid w:val="006422C2"/>
    <w:rsid w:val="00643FAB"/>
    <w:rsid w:val="00652934"/>
    <w:rsid w:val="006544F4"/>
    <w:rsid w:val="00656BEA"/>
    <w:rsid w:val="006677F4"/>
    <w:rsid w:val="00670B60"/>
    <w:rsid w:val="006715CF"/>
    <w:rsid w:val="0067635E"/>
    <w:rsid w:val="00677103"/>
    <w:rsid w:val="00681C5E"/>
    <w:rsid w:val="00682E0F"/>
    <w:rsid w:val="00683C72"/>
    <w:rsid w:val="00691729"/>
    <w:rsid w:val="00692AED"/>
    <w:rsid w:val="00694FCA"/>
    <w:rsid w:val="00696156"/>
    <w:rsid w:val="006A4883"/>
    <w:rsid w:val="006A6EC9"/>
    <w:rsid w:val="006A773F"/>
    <w:rsid w:val="006B22F6"/>
    <w:rsid w:val="006B628D"/>
    <w:rsid w:val="006C2054"/>
    <w:rsid w:val="006C31C0"/>
    <w:rsid w:val="006D36CF"/>
    <w:rsid w:val="006E0336"/>
    <w:rsid w:val="006E2769"/>
    <w:rsid w:val="006E2DB9"/>
    <w:rsid w:val="006E4125"/>
    <w:rsid w:val="006F1E82"/>
    <w:rsid w:val="006F480A"/>
    <w:rsid w:val="006F6958"/>
    <w:rsid w:val="006F71FD"/>
    <w:rsid w:val="0070016E"/>
    <w:rsid w:val="00700961"/>
    <w:rsid w:val="007011BE"/>
    <w:rsid w:val="007036AA"/>
    <w:rsid w:val="00704059"/>
    <w:rsid w:val="0070712A"/>
    <w:rsid w:val="007100B1"/>
    <w:rsid w:val="007102CF"/>
    <w:rsid w:val="00710AAA"/>
    <w:rsid w:val="007128CA"/>
    <w:rsid w:val="00716859"/>
    <w:rsid w:val="00720044"/>
    <w:rsid w:val="00720CD9"/>
    <w:rsid w:val="00722CF6"/>
    <w:rsid w:val="007250A6"/>
    <w:rsid w:val="00737CB5"/>
    <w:rsid w:val="0074389B"/>
    <w:rsid w:val="00744297"/>
    <w:rsid w:val="00752B2A"/>
    <w:rsid w:val="00753D45"/>
    <w:rsid w:val="00760461"/>
    <w:rsid w:val="0076205C"/>
    <w:rsid w:val="00762C88"/>
    <w:rsid w:val="007662E1"/>
    <w:rsid w:val="00767D59"/>
    <w:rsid w:val="007706C7"/>
    <w:rsid w:val="00781343"/>
    <w:rsid w:val="0078389D"/>
    <w:rsid w:val="00784B44"/>
    <w:rsid w:val="007859D0"/>
    <w:rsid w:val="00790460"/>
    <w:rsid w:val="00793F37"/>
    <w:rsid w:val="0079723A"/>
    <w:rsid w:val="007A2481"/>
    <w:rsid w:val="007A2817"/>
    <w:rsid w:val="007A5351"/>
    <w:rsid w:val="007A56DE"/>
    <w:rsid w:val="007A6169"/>
    <w:rsid w:val="007A650E"/>
    <w:rsid w:val="007A7DF0"/>
    <w:rsid w:val="007B1C02"/>
    <w:rsid w:val="007B291F"/>
    <w:rsid w:val="007B7859"/>
    <w:rsid w:val="007C1510"/>
    <w:rsid w:val="007C324F"/>
    <w:rsid w:val="007C53E0"/>
    <w:rsid w:val="007D2688"/>
    <w:rsid w:val="007E0DA0"/>
    <w:rsid w:val="007E39A8"/>
    <w:rsid w:val="007E3D1F"/>
    <w:rsid w:val="007E4A12"/>
    <w:rsid w:val="007E6FE3"/>
    <w:rsid w:val="007F09EA"/>
    <w:rsid w:val="007F6C7F"/>
    <w:rsid w:val="00800F96"/>
    <w:rsid w:val="00801632"/>
    <w:rsid w:val="008060C3"/>
    <w:rsid w:val="00806523"/>
    <w:rsid w:val="00810B33"/>
    <w:rsid w:val="008120B0"/>
    <w:rsid w:val="00815480"/>
    <w:rsid w:val="0083639A"/>
    <w:rsid w:val="00837670"/>
    <w:rsid w:val="00837A05"/>
    <w:rsid w:val="00840D90"/>
    <w:rsid w:val="0084359E"/>
    <w:rsid w:val="008439F8"/>
    <w:rsid w:val="00847AD8"/>
    <w:rsid w:val="00850136"/>
    <w:rsid w:val="0085014F"/>
    <w:rsid w:val="00853017"/>
    <w:rsid w:val="00863991"/>
    <w:rsid w:val="00866A1B"/>
    <w:rsid w:val="008704AB"/>
    <w:rsid w:val="00871FC0"/>
    <w:rsid w:val="0087441B"/>
    <w:rsid w:val="00883D6C"/>
    <w:rsid w:val="0088519C"/>
    <w:rsid w:val="00892594"/>
    <w:rsid w:val="00897221"/>
    <w:rsid w:val="008A1241"/>
    <w:rsid w:val="008A1638"/>
    <w:rsid w:val="008A2598"/>
    <w:rsid w:val="008A54A0"/>
    <w:rsid w:val="008A6504"/>
    <w:rsid w:val="008B09D6"/>
    <w:rsid w:val="008B0CA0"/>
    <w:rsid w:val="008B2E92"/>
    <w:rsid w:val="008B3AA4"/>
    <w:rsid w:val="008B5F3B"/>
    <w:rsid w:val="008C1297"/>
    <w:rsid w:val="008C66D5"/>
    <w:rsid w:val="008D189F"/>
    <w:rsid w:val="008D2AFB"/>
    <w:rsid w:val="008D31F9"/>
    <w:rsid w:val="008D35DA"/>
    <w:rsid w:val="008D4BEC"/>
    <w:rsid w:val="008D7168"/>
    <w:rsid w:val="008E38EB"/>
    <w:rsid w:val="008E6F0A"/>
    <w:rsid w:val="008E723A"/>
    <w:rsid w:val="008F0010"/>
    <w:rsid w:val="008F2F36"/>
    <w:rsid w:val="008F48CA"/>
    <w:rsid w:val="008F5BF5"/>
    <w:rsid w:val="0090340B"/>
    <w:rsid w:val="00905F94"/>
    <w:rsid w:val="0091241A"/>
    <w:rsid w:val="00925FCF"/>
    <w:rsid w:val="00927239"/>
    <w:rsid w:val="00927DCE"/>
    <w:rsid w:val="009363FF"/>
    <w:rsid w:val="00945D92"/>
    <w:rsid w:val="00951136"/>
    <w:rsid w:val="0095123C"/>
    <w:rsid w:val="00953A34"/>
    <w:rsid w:val="0096074B"/>
    <w:rsid w:val="00965A34"/>
    <w:rsid w:val="00971354"/>
    <w:rsid w:val="00973452"/>
    <w:rsid w:val="00975553"/>
    <w:rsid w:val="00975F79"/>
    <w:rsid w:val="0098285F"/>
    <w:rsid w:val="00990F63"/>
    <w:rsid w:val="00991801"/>
    <w:rsid w:val="00992A94"/>
    <w:rsid w:val="00993CF2"/>
    <w:rsid w:val="009A15B5"/>
    <w:rsid w:val="009A6B0F"/>
    <w:rsid w:val="009A741B"/>
    <w:rsid w:val="009B0C40"/>
    <w:rsid w:val="009B1635"/>
    <w:rsid w:val="009B6B11"/>
    <w:rsid w:val="009C4AE6"/>
    <w:rsid w:val="009C5C74"/>
    <w:rsid w:val="009C7579"/>
    <w:rsid w:val="009D1F6A"/>
    <w:rsid w:val="009D244A"/>
    <w:rsid w:val="009D4733"/>
    <w:rsid w:val="009D5AAC"/>
    <w:rsid w:val="009D5D9E"/>
    <w:rsid w:val="009E3F16"/>
    <w:rsid w:val="009E434B"/>
    <w:rsid w:val="009E6B81"/>
    <w:rsid w:val="009F4D02"/>
    <w:rsid w:val="009F5016"/>
    <w:rsid w:val="009F5A35"/>
    <w:rsid w:val="009F7C95"/>
    <w:rsid w:val="00A000F2"/>
    <w:rsid w:val="00A027D6"/>
    <w:rsid w:val="00A0525F"/>
    <w:rsid w:val="00A06A60"/>
    <w:rsid w:val="00A1245C"/>
    <w:rsid w:val="00A12783"/>
    <w:rsid w:val="00A1578B"/>
    <w:rsid w:val="00A177A6"/>
    <w:rsid w:val="00A2581F"/>
    <w:rsid w:val="00A262E4"/>
    <w:rsid w:val="00A3130F"/>
    <w:rsid w:val="00A32590"/>
    <w:rsid w:val="00A34377"/>
    <w:rsid w:val="00A34D42"/>
    <w:rsid w:val="00A355BD"/>
    <w:rsid w:val="00A357F7"/>
    <w:rsid w:val="00A3789C"/>
    <w:rsid w:val="00A379C7"/>
    <w:rsid w:val="00A47443"/>
    <w:rsid w:val="00A47585"/>
    <w:rsid w:val="00A56035"/>
    <w:rsid w:val="00A57E38"/>
    <w:rsid w:val="00A60B63"/>
    <w:rsid w:val="00A61068"/>
    <w:rsid w:val="00A71EFB"/>
    <w:rsid w:val="00A72099"/>
    <w:rsid w:val="00A73DF3"/>
    <w:rsid w:val="00A7551B"/>
    <w:rsid w:val="00A76AC6"/>
    <w:rsid w:val="00A824D4"/>
    <w:rsid w:val="00A86476"/>
    <w:rsid w:val="00A90BB1"/>
    <w:rsid w:val="00A920E8"/>
    <w:rsid w:val="00A92636"/>
    <w:rsid w:val="00A9500E"/>
    <w:rsid w:val="00A95E06"/>
    <w:rsid w:val="00A972F1"/>
    <w:rsid w:val="00AA19F7"/>
    <w:rsid w:val="00AA3583"/>
    <w:rsid w:val="00AA47FE"/>
    <w:rsid w:val="00AA6FD1"/>
    <w:rsid w:val="00AA7D07"/>
    <w:rsid w:val="00AB0E79"/>
    <w:rsid w:val="00AB1227"/>
    <w:rsid w:val="00AB1AE2"/>
    <w:rsid w:val="00AB5182"/>
    <w:rsid w:val="00AB5572"/>
    <w:rsid w:val="00AC42E7"/>
    <w:rsid w:val="00AC6050"/>
    <w:rsid w:val="00AC6ED4"/>
    <w:rsid w:val="00AD02B4"/>
    <w:rsid w:val="00AD0888"/>
    <w:rsid w:val="00AD14E4"/>
    <w:rsid w:val="00AE206F"/>
    <w:rsid w:val="00AF050E"/>
    <w:rsid w:val="00AF0542"/>
    <w:rsid w:val="00AF06AD"/>
    <w:rsid w:val="00AF07DE"/>
    <w:rsid w:val="00B00FFB"/>
    <w:rsid w:val="00B021D7"/>
    <w:rsid w:val="00B055B5"/>
    <w:rsid w:val="00B11750"/>
    <w:rsid w:val="00B1193A"/>
    <w:rsid w:val="00B11FD8"/>
    <w:rsid w:val="00B157BB"/>
    <w:rsid w:val="00B1736B"/>
    <w:rsid w:val="00B25367"/>
    <w:rsid w:val="00B2552E"/>
    <w:rsid w:val="00B3131F"/>
    <w:rsid w:val="00B364B6"/>
    <w:rsid w:val="00B41640"/>
    <w:rsid w:val="00B43F6B"/>
    <w:rsid w:val="00B55B22"/>
    <w:rsid w:val="00B5736E"/>
    <w:rsid w:val="00B60841"/>
    <w:rsid w:val="00B70998"/>
    <w:rsid w:val="00B774E4"/>
    <w:rsid w:val="00B82559"/>
    <w:rsid w:val="00B86B1C"/>
    <w:rsid w:val="00B86DC2"/>
    <w:rsid w:val="00B950DF"/>
    <w:rsid w:val="00BA12F2"/>
    <w:rsid w:val="00BA1AEC"/>
    <w:rsid w:val="00BA4C10"/>
    <w:rsid w:val="00BA6AEC"/>
    <w:rsid w:val="00BB0D52"/>
    <w:rsid w:val="00BB2BE1"/>
    <w:rsid w:val="00BB3B23"/>
    <w:rsid w:val="00BB64F7"/>
    <w:rsid w:val="00BB7ABF"/>
    <w:rsid w:val="00BD47A9"/>
    <w:rsid w:val="00BD56C5"/>
    <w:rsid w:val="00BD7DD2"/>
    <w:rsid w:val="00BE0FA1"/>
    <w:rsid w:val="00BE118E"/>
    <w:rsid w:val="00BE18AD"/>
    <w:rsid w:val="00BE38FA"/>
    <w:rsid w:val="00BE4583"/>
    <w:rsid w:val="00BF3074"/>
    <w:rsid w:val="00BF5975"/>
    <w:rsid w:val="00BF64C6"/>
    <w:rsid w:val="00C02ABE"/>
    <w:rsid w:val="00C127CA"/>
    <w:rsid w:val="00C13B3D"/>
    <w:rsid w:val="00C1452B"/>
    <w:rsid w:val="00C231A0"/>
    <w:rsid w:val="00C257AB"/>
    <w:rsid w:val="00C25CF9"/>
    <w:rsid w:val="00C3168B"/>
    <w:rsid w:val="00C31D17"/>
    <w:rsid w:val="00C33D67"/>
    <w:rsid w:val="00C34D41"/>
    <w:rsid w:val="00C351CC"/>
    <w:rsid w:val="00C37F41"/>
    <w:rsid w:val="00C44808"/>
    <w:rsid w:val="00C45C1D"/>
    <w:rsid w:val="00C52CCB"/>
    <w:rsid w:val="00C5384E"/>
    <w:rsid w:val="00C56EF0"/>
    <w:rsid w:val="00C579E1"/>
    <w:rsid w:val="00C60B76"/>
    <w:rsid w:val="00C63237"/>
    <w:rsid w:val="00C65A21"/>
    <w:rsid w:val="00C67778"/>
    <w:rsid w:val="00C677CE"/>
    <w:rsid w:val="00C67C31"/>
    <w:rsid w:val="00C72CFF"/>
    <w:rsid w:val="00C8032E"/>
    <w:rsid w:val="00C80933"/>
    <w:rsid w:val="00C832CC"/>
    <w:rsid w:val="00C851CF"/>
    <w:rsid w:val="00C85350"/>
    <w:rsid w:val="00C855E5"/>
    <w:rsid w:val="00C9025B"/>
    <w:rsid w:val="00C9111E"/>
    <w:rsid w:val="00C95C03"/>
    <w:rsid w:val="00C9765F"/>
    <w:rsid w:val="00C97E25"/>
    <w:rsid w:val="00CA2ABA"/>
    <w:rsid w:val="00CA2FA9"/>
    <w:rsid w:val="00CA6973"/>
    <w:rsid w:val="00CA7AE3"/>
    <w:rsid w:val="00CB6248"/>
    <w:rsid w:val="00CC196B"/>
    <w:rsid w:val="00CC6133"/>
    <w:rsid w:val="00CC74BC"/>
    <w:rsid w:val="00CD01C9"/>
    <w:rsid w:val="00CD4869"/>
    <w:rsid w:val="00CE00E6"/>
    <w:rsid w:val="00CE119A"/>
    <w:rsid w:val="00CE28AA"/>
    <w:rsid w:val="00CF1874"/>
    <w:rsid w:val="00CF6917"/>
    <w:rsid w:val="00D02C2B"/>
    <w:rsid w:val="00D02D59"/>
    <w:rsid w:val="00D02FD6"/>
    <w:rsid w:val="00D04D7D"/>
    <w:rsid w:val="00D05B0B"/>
    <w:rsid w:val="00D062D7"/>
    <w:rsid w:val="00D06954"/>
    <w:rsid w:val="00D109E3"/>
    <w:rsid w:val="00D11DAD"/>
    <w:rsid w:val="00D120F4"/>
    <w:rsid w:val="00D13684"/>
    <w:rsid w:val="00D14D5B"/>
    <w:rsid w:val="00D22933"/>
    <w:rsid w:val="00D229F4"/>
    <w:rsid w:val="00D247C1"/>
    <w:rsid w:val="00D24E34"/>
    <w:rsid w:val="00D264C0"/>
    <w:rsid w:val="00D279B8"/>
    <w:rsid w:val="00D31E80"/>
    <w:rsid w:val="00D31FCA"/>
    <w:rsid w:val="00D33619"/>
    <w:rsid w:val="00D36619"/>
    <w:rsid w:val="00D40158"/>
    <w:rsid w:val="00D41D15"/>
    <w:rsid w:val="00D42291"/>
    <w:rsid w:val="00D43C46"/>
    <w:rsid w:val="00D4608E"/>
    <w:rsid w:val="00D46A6E"/>
    <w:rsid w:val="00D60976"/>
    <w:rsid w:val="00D60FDD"/>
    <w:rsid w:val="00D62634"/>
    <w:rsid w:val="00D62A9A"/>
    <w:rsid w:val="00D65949"/>
    <w:rsid w:val="00D7108E"/>
    <w:rsid w:val="00D73139"/>
    <w:rsid w:val="00D74281"/>
    <w:rsid w:val="00D80C28"/>
    <w:rsid w:val="00D843B8"/>
    <w:rsid w:val="00D85296"/>
    <w:rsid w:val="00D85802"/>
    <w:rsid w:val="00D85A78"/>
    <w:rsid w:val="00D929E3"/>
    <w:rsid w:val="00DA075B"/>
    <w:rsid w:val="00DA076F"/>
    <w:rsid w:val="00DA0893"/>
    <w:rsid w:val="00DA543D"/>
    <w:rsid w:val="00DB0D8F"/>
    <w:rsid w:val="00DB1F7E"/>
    <w:rsid w:val="00DB29C3"/>
    <w:rsid w:val="00DC08B7"/>
    <w:rsid w:val="00DC7025"/>
    <w:rsid w:val="00DC73AD"/>
    <w:rsid w:val="00DD33B1"/>
    <w:rsid w:val="00DD3BE8"/>
    <w:rsid w:val="00DD3C92"/>
    <w:rsid w:val="00DD56FC"/>
    <w:rsid w:val="00DE15EB"/>
    <w:rsid w:val="00DE220A"/>
    <w:rsid w:val="00DE39CD"/>
    <w:rsid w:val="00DE7EA5"/>
    <w:rsid w:val="00DF470C"/>
    <w:rsid w:val="00DF7D67"/>
    <w:rsid w:val="00E011E0"/>
    <w:rsid w:val="00E04BB6"/>
    <w:rsid w:val="00E12326"/>
    <w:rsid w:val="00E123FC"/>
    <w:rsid w:val="00E125AE"/>
    <w:rsid w:val="00E12AD1"/>
    <w:rsid w:val="00E17240"/>
    <w:rsid w:val="00E17F17"/>
    <w:rsid w:val="00E200C4"/>
    <w:rsid w:val="00E22381"/>
    <w:rsid w:val="00E22945"/>
    <w:rsid w:val="00E23D22"/>
    <w:rsid w:val="00E24572"/>
    <w:rsid w:val="00E278C1"/>
    <w:rsid w:val="00E341D6"/>
    <w:rsid w:val="00E34789"/>
    <w:rsid w:val="00E34A6A"/>
    <w:rsid w:val="00E3796F"/>
    <w:rsid w:val="00E50FE4"/>
    <w:rsid w:val="00E53378"/>
    <w:rsid w:val="00E54D5F"/>
    <w:rsid w:val="00E55FF6"/>
    <w:rsid w:val="00E569B7"/>
    <w:rsid w:val="00E612BA"/>
    <w:rsid w:val="00E613CE"/>
    <w:rsid w:val="00E67432"/>
    <w:rsid w:val="00E7131B"/>
    <w:rsid w:val="00E71D63"/>
    <w:rsid w:val="00E75360"/>
    <w:rsid w:val="00E758FA"/>
    <w:rsid w:val="00E771F8"/>
    <w:rsid w:val="00E811F5"/>
    <w:rsid w:val="00E81ACD"/>
    <w:rsid w:val="00E82CB7"/>
    <w:rsid w:val="00E93153"/>
    <w:rsid w:val="00E950A3"/>
    <w:rsid w:val="00E95145"/>
    <w:rsid w:val="00EA30AE"/>
    <w:rsid w:val="00EA605F"/>
    <w:rsid w:val="00EB160E"/>
    <w:rsid w:val="00EB2565"/>
    <w:rsid w:val="00EB27DC"/>
    <w:rsid w:val="00EB450B"/>
    <w:rsid w:val="00EB5EA4"/>
    <w:rsid w:val="00EB61E1"/>
    <w:rsid w:val="00EB65C7"/>
    <w:rsid w:val="00ED04F2"/>
    <w:rsid w:val="00ED32EF"/>
    <w:rsid w:val="00ED4837"/>
    <w:rsid w:val="00ED5D36"/>
    <w:rsid w:val="00ED5F4E"/>
    <w:rsid w:val="00EE0F57"/>
    <w:rsid w:val="00EE2984"/>
    <w:rsid w:val="00EE4C8B"/>
    <w:rsid w:val="00EF1307"/>
    <w:rsid w:val="00EF469A"/>
    <w:rsid w:val="00EF5D54"/>
    <w:rsid w:val="00F0062B"/>
    <w:rsid w:val="00F0242E"/>
    <w:rsid w:val="00F0686F"/>
    <w:rsid w:val="00F11B75"/>
    <w:rsid w:val="00F14F02"/>
    <w:rsid w:val="00F15E1F"/>
    <w:rsid w:val="00F20C9F"/>
    <w:rsid w:val="00F23250"/>
    <w:rsid w:val="00F26211"/>
    <w:rsid w:val="00F2796B"/>
    <w:rsid w:val="00F27AD2"/>
    <w:rsid w:val="00F30992"/>
    <w:rsid w:val="00F32066"/>
    <w:rsid w:val="00F4109F"/>
    <w:rsid w:val="00F41E78"/>
    <w:rsid w:val="00F42DDB"/>
    <w:rsid w:val="00F43714"/>
    <w:rsid w:val="00F51600"/>
    <w:rsid w:val="00F54AF7"/>
    <w:rsid w:val="00F5504F"/>
    <w:rsid w:val="00F561A8"/>
    <w:rsid w:val="00F56E3E"/>
    <w:rsid w:val="00F57D2D"/>
    <w:rsid w:val="00F63148"/>
    <w:rsid w:val="00F645B4"/>
    <w:rsid w:val="00F6461B"/>
    <w:rsid w:val="00F6582C"/>
    <w:rsid w:val="00F66DC8"/>
    <w:rsid w:val="00F75DD1"/>
    <w:rsid w:val="00F82D7F"/>
    <w:rsid w:val="00F9138A"/>
    <w:rsid w:val="00F92266"/>
    <w:rsid w:val="00F94980"/>
    <w:rsid w:val="00F959AF"/>
    <w:rsid w:val="00F972A6"/>
    <w:rsid w:val="00FA0595"/>
    <w:rsid w:val="00FA4B87"/>
    <w:rsid w:val="00FA5E92"/>
    <w:rsid w:val="00FA6396"/>
    <w:rsid w:val="00FA6CC4"/>
    <w:rsid w:val="00FB0817"/>
    <w:rsid w:val="00FB084F"/>
    <w:rsid w:val="00FB1075"/>
    <w:rsid w:val="00FB1375"/>
    <w:rsid w:val="00FB20F6"/>
    <w:rsid w:val="00FB5A34"/>
    <w:rsid w:val="00FB688E"/>
    <w:rsid w:val="00FC27FA"/>
    <w:rsid w:val="00FC49A6"/>
    <w:rsid w:val="00FC5270"/>
    <w:rsid w:val="00FC7BC5"/>
    <w:rsid w:val="00FD0EF2"/>
    <w:rsid w:val="00FD44EE"/>
    <w:rsid w:val="00FE749C"/>
    <w:rsid w:val="00FF14DB"/>
    <w:rsid w:val="00FF2243"/>
    <w:rsid w:val="00FF45C3"/>
    <w:rsid w:val="0B0E7497"/>
    <w:rsid w:val="47DD73D9"/>
    <w:rsid w:val="593E4AA6"/>
    <w:rsid w:val="6C355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微软雅黑"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4"/>
    <w:autoRedefine/>
    <w:qFormat/>
    <w:uiPriority w:val="0"/>
    <w:pPr>
      <w:keepNext/>
      <w:spacing w:before="240" w:after="60"/>
      <w:ind w:left="630" w:leftChars="100" w:right="210" w:rightChars="100" w:hanging="420"/>
      <w:outlineLvl w:val="2"/>
    </w:pPr>
    <w:rPr>
      <w:rFonts w:ascii="微软雅黑" w:hAnsi="微软雅黑" w:eastAsia="微软雅黑" w:cs="Arial"/>
      <w:b/>
      <w:bCs/>
      <w:sz w:val="21"/>
      <w:szCs w:val="22"/>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rPr>
  </w:style>
  <w:style w:type="paragraph" w:styleId="13">
    <w:name w:val="Document Map"/>
    <w:basedOn w:val="1"/>
    <w:semiHidden/>
    <w:qFormat/>
    <w:uiPriority w:val="0"/>
    <w:pPr>
      <w:shd w:val="clear" w:color="auto" w:fill="000080"/>
    </w:pPr>
  </w:style>
  <w:style w:type="paragraph" w:styleId="14">
    <w:name w:val="annotation text"/>
    <w:basedOn w:val="1"/>
    <w:link w:val="47"/>
    <w:qFormat/>
    <w:uiPriority w:val="0"/>
  </w:style>
  <w:style w:type="paragraph" w:styleId="15">
    <w:name w:val="Body Text Indent"/>
    <w:basedOn w:val="1"/>
    <w:link w:val="34"/>
    <w:qFormat/>
    <w:uiPriority w:val="0"/>
    <w:pPr>
      <w:widowControl w:val="0"/>
      <w:spacing w:line="400" w:lineRule="exact"/>
      <w:ind w:firstLine="480" w:firstLineChars="200"/>
      <w:jc w:val="both"/>
    </w:pPr>
    <w:rPr>
      <w:rFonts w:ascii="宋体" w:hAnsi="宋体"/>
      <w:kern w:val="2"/>
      <w:sz w:val="24"/>
      <w:szCs w:val="24"/>
      <w:lang w:val="en-US"/>
    </w:rPr>
  </w:style>
  <w:style w:type="paragraph" w:styleId="16">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7">
    <w:name w:val="Date"/>
    <w:basedOn w:val="1"/>
    <w:next w:val="1"/>
    <w:link w:val="43"/>
    <w:qFormat/>
    <w:uiPriority w:val="0"/>
    <w:pPr>
      <w:ind w:left="100" w:leftChars="2500"/>
    </w:pPr>
  </w:style>
  <w:style w:type="paragraph" w:styleId="18">
    <w:name w:val="footer"/>
    <w:basedOn w:val="1"/>
    <w:link w:val="38"/>
    <w:qFormat/>
    <w:uiPriority w:val="0"/>
    <w:pPr>
      <w:tabs>
        <w:tab w:val="center" w:pos="4153"/>
        <w:tab w:val="right" w:pos="8306"/>
      </w:tabs>
      <w:snapToGrid w:val="0"/>
    </w:pPr>
    <w:rPr>
      <w:szCs w:val="18"/>
    </w:rPr>
  </w:style>
  <w:style w:type="paragraph" w:styleId="19">
    <w:name w:val="header"/>
    <w:basedOn w:val="1"/>
    <w:link w:val="45"/>
    <w:qFormat/>
    <w:uiPriority w:val="99"/>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footnote text"/>
    <w:basedOn w:val="1"/>
    <w:link w:val="46"/>
    <w:qFormat/>
    <w:uiPriority w:val="0"/>
    <w:pPr>
      <w:snapToGrid w:val="0"/>
    </w:pPr>
    <w:rPr>
      <w:sz w:val="18"/>
      <w:szCs w:val="18"/>
    </w:rPr>
  </w:style>
  <w:style w:type="paragraph" w:styleId="22">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3">
    <w:name w:val="annotation subject"/>
    <w:basedOn w:val="14"/>
    <w:next w:val="14"/>
    <w:link w:val="48"/>
    <w:semiHidden/>
    <w:unhideWhenUsed/>
    <w:qFormat/>
    <w:uiPriority w:val="0"/>
    <w:rPr>
      <w:b/>
      <w:bCs/>
    </w:rPr>
  </w:style>
  <w:style w:type="table" w:styleId="25">
    <w:name w:val="Table Grid"/>
    <w:basedOn w:val="24"/>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page number"/>
    <w:basedOn w:val="26"/>
    <w:qFormat/>
    <w:uiPriority w:val="0"/>
  </w:style>
  <w:style w:type="character" w:styleId="29">
    <w:name w:val="FollowedHyperlink"/>
    <w:qFormat/>
    <w:uiPriority w:val="0"/>
    <w:rPr>
      <w:color w:val="800080"/>
      <w:u w:val="single"/>
    </w:rPr>
  </w:style>
  <w:style w:type="character" w:styleId="30">
    <w:name w:val="Emphasis"/>
    <w:qFormat/>
    <w:uiPriority w:val="0"/>
    <w:rPr>
      <w:i/>
      <w:iCs/>
    </w:rPr>
  </w:style>
  <w:style w:type="character" w:styleId="31">
    <w:name w:val="Hyperlink"/>
    <w:qFormat/>
    <w:uiPriority w:val="99"/>
    <w:rPr>
      <w:color w:val="0000FF"/>
      <w:u w:val="single"/>
    </w:rPr>
  </w:style>
  <w:style w:type="character" w:styleId="32">
    <w:name w:val="annotation reference"/>
    <w:qFormat/>
    <w:uiPriority w:val="0"/>
    <w:rPr>
      <w:sz w:val="21"/>
      <w:szCs w:val="21"/>
    </w:rPr>
  </w:style>
  <w:style w:type="character" w:styleId="33">
    <w:name w:val="footnote reference"/>
    <w:qFormat/>
    <w:uiPriority w:val="0"/>
    <w:rPr>
      <w:vertAlign w:val="superscript"/>
    </w:rPr>
  </w:style>
  <w:style w:type="character" w:customStyle="1" w:styleId="34">
    <w:name w:val="正文文本缩进 字符"/>
    <w:link w:val="15"/>
    <w:qFormat/>
    <w:uiPriority w:val="0"/>
    <w:rPr>
      <w:rFonts w:ascii="宋体" w:hAnsi="宋体" w:eastAsia="宋体"/>
      <w:kern w:val="2"/>
      <w:sz w:val="24"/>
      <w:szCs w:val="24"/>
      <w:lang w:val="en-US" w:eastAsia="zh-CN" w:bidi="ar-SA"/>
    </w:rPr>
  </w:style>
  <w:style w:type="paragraph" w:customStyle="1" w:styleId="35">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6">
    <w:name w:val="Char Char2"/>
    <w:qFormat/>
    <w:locked/>
    <w:uiPriority w:val="0"/>
    <w:rPr>
      <w:rFonts w:ascii="宋体" w:hAnsi="宋体" w:eastAsia="宋体"/>
      <w:kern w:val="2"/>
      <w:sz w:val="24"/>
      <w:szCs w:val="24"/>
      <w:lang w:val="en-US" w:eastAsia="zh-CN" w:bidi="ar-SA"/>
    </w:rPr>
  </w:style>
  <w:style w:type="character" w:customStyle="1" w:styleId="37">
    <w:name w:val="Char Char21"/>
    <w:qFormat/>
    <w:uiPriority w:val="0"/>
    <w:rPr>
      <w:rFonts w:ascii="宋体" w:hAnsi="宋体" w:eastAsia="宋体" w:cs="Times New Roman"/>
      <w:sz w:val="24"/>
      <w:szCs w:val="24"/>
    </w:rPr>
  </w:style>
  <w:style w:type="character" w:customStyle="1" w:styleId="38">
    <w:name w:val="页脚 字符"/>
    <w:link w:val="18"/>
    <w:qFormat/>
    <w:uiPriority w:val="0"/>
    <w:rPr>
      <w:rFonts w:eastAsia="宋体"/>
      <w:sz w:val="18"/>
      <w:szCs w:val="18"/>
      <w:lang w:val="en-GB" w:eastAsia="zh-CN" w:bidi="ar-SA"/>
    </w:rPr>
  </w:style>
  <w:style w:type="character" w:customStyle="1" w:styleId="39">
    <w:name w:val="Char Char1"/>
    <w:qFormat/>
    <w:uiPriority w:val="0"/>
    <w:rPr>
      <w:rFonts w:ascii="宋体" w:hAnsi="宋体" w:eastAsia="宋体"/>
      <w:kern w:val="2"/>
      <w:sz w:val="24"/>
      <w:szCs w:val="24"/>
      <w:lang w:val="en-US" w:eastAsia="zh-CN" w:bidi="ar-SA"/>
    </w:rPr>
  </w:style>
  <w:style w:type="character" w:customStyle="1" w:styleId="40">
    <w:name w:val="Char Char"/>
    <w:qFormat/>
    <w:locked/>
    <w:uiPriority w:val="0"/>
    <w:rPr>
      <w:rFonts w:ascii="宋体" w:hAnsi="宋体" w:eastAsia="宋体"/>
      <w:kern w:val="2"/>
      <w:sz w:val="24"/>
      <w:szCs w:val="24"/>
      <w:lang w:val="en-US" w:eastAsia="zh-CN" w:bidi="ar-SA"/>
    </w:rPr>
  </w:style>
  <w:style w:type="paragraph" w:styleId="41">
    <w:name w:val="List Paragraph"/>
    <w:basedOn w:val="1"/>
    <w:qFormat/>
    <w:uiPriority w:val="34"/>
    <w:pPr>
      <w:ind w:firstLine="420" w:firstLineChars="200"/>
    </w:pPr>
  </w:style>
  <w:style w:type="paragraph" w:customStyle="1" w:styleId="42">
    <w:name w:val="条文"/>
    <w:basedOn w:val="1"/>
    <w:qFormat/>
    <w:uiPriority w:val="0"/>
    <w:pPr>
      <w:widowControl w:val="0"/>
      <w:adjustRightInd w:val="0"/>
      <w:spacing w:line="300" w:lineRule="auto"/>
      <w:ind w:firstLine="200" w:firstLineChars="200"/>
      <w:jc w:val="both"/>
      <w:outlineLvl w:val="2"/>
    </w:pPr>
    <w:rPr>
      <w:rFonts w:ascii="Calibri" w:hAnsi="Calibri"/>
      <w:kern w:val="2"/>
      <w:sz w:val="24"/>
      <w:szCs w:val="24"/>
      <w:lang w:val="en-US"/>
    </w:rPr>
  </w:style>
  <w:style w:type="character" w:customStyle="1" w:styleId="43">
    <w:name w:val="日期 字符"/>
    <w:link w:val="17"/>
    <w:qFormat/>
    <w:uiPriority w:val="0"/>
    <w:rPr>
      <w:sz w:val="18"/>
      <w:lang w:val="en-GB"/>
    </w:rPr>
  </w:style>
  <w:style w:type="character" w:customStyle="1" w:styleId="44">
    <w:name w:val="标题 3 字符"/>
    <w:link w:val="5"/>
    <w:qFormat/>
    <w:uiPriority w:val="0"/>
    <w:rPr>
      <w:rFonts w:ascii="微软雅黑" w:hAnsi="微软雅黑" w:eastAsia="微软雅黑" w:cs="Arial"/>
      <w:b/>
      <w:bCs/>
      <w:sz w:val="21"/>
      <w:szCs w:val="22"/>
    </w:rPr>
  </w:style>
  <w:style w:type="character" w:customStyle="1" w:styleId="45">
    <w:name w:val="页眉 字符"/>
    <w:link w:val="19"/>
    <w:qFormat/>
    <w:uiPriority w:val="99"/>
    <w:rPr>
      <w:rFonts w:eastAsia="微软雅黑"/>
      <w:sz w:val="21"/>
      <w:szCs w:val="18"/>
      <w:lang w:val="en-GB"/>
    </w:rPr>
  </w:style>
  <w:style w:type="character" w:customStyle="1" w:styleId="46">
    <w:name w:val="脚注文本 字符"/>
    <w:link w:val="21"/>
    <w:qFormat/>
    <w:uiPriority w:val="0"/>
    <w:rPr>
      <w:rFonts w:eastAsia="微软雅黑"/>
      <w:sz w:val="18"/>
      <w:szCs w:val="18"/>
      <w:lang w:val="en-GB"/>
    </w:rPr>
  </w:style>
  <w:style w:type="character" w:customStyle="1" w:styleId="47">
    <w:name w:val="批注文字 字符"/>
    <w:link w:val="14"/>
    <w:qFormat/>
    <w:uiPriority w:val="0"/>
    <w:rPr>
      <w:rFonts w:eastAsia="微软雅黑"/>
      <w:sz w:val="21"/>
      <w:lang w:val="en-GB"/>
    </w:rPr>
  </w:style>
  <w:style w:type="character" w:customStyle="1" w:styleId="48">
    <w:name w:val="批注主题 字符"/>
    <w:link w:val="23"/>
    <w:semiHidden/>
    <w:qFormat/>
    <w:uiPriority w:val="0"/>
    <w:rPr>
      <w:rFonts w:eastAsia="微软雅黑"/>
      <w:b/>
      <w:bCs/>
      <w:sz w:val="21"/>
      <w:lang w:val="en-GB"/>
    </w:rPr>
  </w:style>
  <w:style w:type="character" w:customStyle="1" w:styleId="49">
    <w:name w:val="未处理的提及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SVN2025\Dali2025\sys\template\&#29031;&#26126;&#25253;&#21578;\&#23460;&#22806;&#20154;&#24037;&#29031;&#26126;&#20809;&#27745;&#26579;&#25253;&#21578;&#2007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7B1CD-0A29-4B8B-A208-31954AF9A5F2}">
  <ds:schemaRefs/>
</ds:datastoreItem>
</file>

<file path=docProps/app.xml><?xml version="1.0" encoding="utf-8"?>
<Properties xmlns="http://schemas.openxmlformats.org/officeDocument/2006/extended-properties" xmlns:vt="http://schemas.openxmlformats.org/officeDocument/2006/docPropsVTypes">
  <Template>室外人工照明光污染报告书.dotx</Template>
  <Pages>8</Pages>
  <Words>1769</Words>
  <Characters>2009</Characters>
  <Lines>23</Lines>
  <Paragraphs>6</Paragraphs>
  <TotalTime>1</TotalTime>
  <ScaleCrop>false</ScaleCrop>
  <LinksUpToDate>false</LinksUpToDate>
  <CharactersWithSpaces>2071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2025-06-21T09:05:00Z</dcterms:created>
  <dc:creator>七月夏笙</dc:creator>
  <cp:lastModifiedBy>七月夏笙</cp:lastModifiedBy>
  <dcterms:modified xsi:type="dcterms:W3CDTF">2025-06-21T09:13:23Z</dcterms:modified>
  <dc:title>室外人工照明光污染报告书</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5E542F102EB542CC81432341BDF25259_11</vt:lpwstr>
  </property>
  <property fmtid="{D5CDD505-2E9C-101B-9397-08002B2CF9AE}" pid="4" name="KSOTemplateDocerSaveRecord">
    <vt:lpwstr>eyJoZGlkIjoiZjk1MTMzNzAzODBhNDQ1N2I5NTM5ODViNjU3YTEyZGEiLCJ1c2VySWQiOiIxNTQ5MjkzMTQ4In0=</vt:lpwstr>
  </property>
</Properties>
</file>