
<file path=[Content_Types].xml><?xml version="1.0" encoding="utf-8"?>
<Types xmlns="http://schemas.openxmlformats.org/package/2006/content-types">
  <Default Extension="xml" ContentType="application/xml"/>
  <Default Extension="jpeg" ContentType="image/jpeg"/>
  <Default Extension="JPG" ContentType="image/.jpg"/>
  <Default Extension="wmf" ContentType="image/x-wmf"/>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E80AAA">
      <w:pPr>
        <w:rPr>
          <w:rFonts w:hint="eastAsia"/>
        </w:rPr>
      </w:pPr>
      <w:bookmarkStart w:id="105" w:name="_GoBack"/>
      <w:bookmarkEnd w:id="105"/>
    </w:p>
    <w:p w14:paraId="335516E0">
      <w:pPr>
        <w:rPr>
          <w:rFonts w:asciiTheme="minorHAnsi" w:hAnsiTheme="minorHAnsi" w:eastAsiaTheme="minorEastAsia"/>
          <w:sz w:val="21"/>
          <w:szCs w:val="22"/>
          <w:lang w:val="en-US"/>
        </w:rPr>
      </w:pPr>
      <w:bookmarkStart w:id="0" w:name="_Hlk172625514"/>
    </w:p>
    <w:tbl>
      <w:tblPr>
        <w:tblStyle w:val="2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16"/>
      </w:tblGrid>
      <w:tr w14:paraId="4A7D1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931" w:type="dxa"/>
            <w:vAlign w:val="center"/>
          </w:tcPr>
          <w:p w14:paraId="625B59A1">
            <w:pPr>
              <w:spacing w:line="360" w:lineRule="exact"/>
              <w:jc w:val="center"/>
              <w:rPr>
                <w:rFonts w:hint="eastAsia"/>
                <w:b/>
                <w:spacing w:val="45"/>
                <w:sz w:val="30"/>
                <w:szCs w:val="30"/>
              </w:rPr>
            </w:pPr>
            <w:bookmarkStart w:id="1" w:name="_Hlk172625491"/>
          </w:p>
          <w:p w14:paraId="658A4F8D">
            <w:pPr>
              <w:spacing w:line="360" w:lineRule="exact"/>
              <w:jc w:val="center"/>
              <w:rPr>
                <w:rFonts w:hint="eastAsia"/>
                <w:b/>
                <w:spacing w:val="45"/>
                <w:sz w:val="30"/>
                <w:szCs w:val="30"/>
              </w:rPr>
            </w:pPr>
          </w:p>
          <w:p w14:paraId="061ABACE">
            <w:pPr>
              <w:spacing w:before="156" w:beforeLines="50" w:line="240" w:lineRule="auto"/>
              <w:jc w:val="distribute"/>
              <w:rPr>
                <w:rFonts w:hint="eastAsia"/>
                <w:b/>
                <w:sz w:val="72"/>
                <w:szCs w:val="52"/>
              </w:rPr>
            </w:pPr>
            <w:r>
              <w:rPr>
                <w:rFonts w:hint="eastAsia"/>
                <w:b/>
                <w:spacing w:val="54"/>
                <w:kern w:val="0"/>
                <w:sz w:val="72"/>
                <w:szCs w:val="52"/>
                <w:fitText w:val="9000" w:id="-938825216"/>
              </w:rPr>
              <w:t>住宅建筑动态采光计算</w:t>
            </w:r>
            <w:r>
              <w:rPr>
                <w:rFonts w:hint="eastAsia"/>
                <w:b/>
                <w:spacing w:val="0"/>
                <w:kern w:val="0"/>
                <w:sz w:val="72"/>
                <w:szCs w:val="52"/>
                <w:fitText w:val="9000" w:id="-938825216"/>
              </w:rPr>
              <w:t>书</w:t>
            </w:r>
          </w:p>
        </w:tc>
      </w:tr>
      <w:tr w14:paraId="348C6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931" w:type="dxa"/>
          </w:tcPr>
          <w:p w14:paraId="3BFB58DA">
            <w:pPr>
              <w:spacing w:before="312" w:beforeLines="100" w:line="240" w:lineRule="auto"/>
              <w:jc w:val="center"/>
              <w:rPr>
                <w:rFonts w:hint="eastAsia"/>
                <w:b/>
                <w:sz w:val="36"/>
                <w:szCs w:val="36"/>
              </w:rPr>
            </w:pPr>
            <w:bookmarkStart w:id="2" w:name="工程名称"/>
            <w:r>
              <w:rPr>
                <w:rFonts w:hint="eastAsia"/>
                <w:b/>
                <w:sz w:val="36"/>
                <w:szCs w:val="36"/>
              </w:rPr>
              <w:t>《风揽光影，海承非遗》--泉州石狮节能型非遗体验馆设计</w:t>
            </w:r>
            <w:bookmarkEnd w:id="2"/>
          </w:p>
        </w:tc>
      </w:tr>
      <w:tr w14:paraId="5BF2A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931" w:type="dxa"/>
          </w:tcPr>
          <w:p w14:paraId="08F3DE7E">
            <w:pPr>
              <w:spacing w:line="240" w:lineRule="auto"/>
              <w:jc w:val="center"/>
              <w:rPr>
                <w:rFonts w:hint="eastAsia"/>
                <w:b/>
                <w:sz w:val="32"/>
                <w:szCs w:val="52"/>
              </w:rPr>
            </w:pPr>
            <w:r>
              <w:rPr>
                <w:rFonts w:hint="eastAsia"/>
                <w:b/>
                <w:sz w:val="32"/>
                <w:szCs w:val="52"/>
              </w:rPr>
              <w:t>设计编号：</w:t>
            </w:r>
            <w:bookmarkStart w:id="3" w:name="设计编号"/>
            <w:r>
              <w:rPr>
                <w:rFonts w:hint="eastAsia"/>
                <w:b/>
                <w:sz w:val="32"/>
                <w:szCs w:val="52"/>
              </w:rPr>
              <w:t>BKA80111</w:t>
            </w:r>
            <w:bookmarkEnd w:id="3"/>
          </w:p>
          <w:p w14:paraId="0EAB47EA">
            <w:pPr>
              <w:spacing w:line="240" w:lineRule="auto"/>
              <w:jc w:val="center"/>
              <w:rPr>
                <w:rFonts w:hint="eastAsia"/>
                <w:b/>
                <w:sz w:val="32"/>
                <w:szCs w:val="52"/>
              </w:rPr>
            </w:pPr>
          </w:p>
        </w:tc>
      </w:tr>
      <w:tr w14:paraId="68F05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931" w:type="dxa"/>
          </w:tcPr>
          <w:p w14:paraId="064039A6">
            <w:pPr>
              <w:spacing w:line="360" w:lineRule="exact"/>
              <w:jc w:val="center"/>
              <w:rPr>
                <w:rFonts w:hint="eastAsia"/>
                <w:b/>
                <w:sz w:val="32"/>
                <w:szCs w:val="52"/>
              </w:rPr>
            </w:pPr>
          </w:p>
        </w:tc>
      </w:tr>
    </w:tbl>
    <w:p w14:paraId="67249B4E">
      <w:pPr>
        <w:jc w:val="center"/>
        <w:rPr>
          <w:rFonts w:hint="eastAsia"/>
          <w:sz w:val="21"/>
          <w:szCs w:val="18"/>
        </w:rPr>
      </w:pPr>
      <w:bookmarkStart w:id="4" w:name="二维码"/>
      <w:bookmarkEnd w:id="4"/>
      <w:r>
        <w:drawing>
          <wp:inline distT="0" distB="0" distL="0" distR="0">
            <wp:extent cx="1238250" cy="12382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7"/>
                    <a:stretch>
                      <a:fillRect/>
                    </a:stretch>
                  </pic:blipFill>
                  <pic:spPr>
                    <a:xfrm>
                      <a:off x="0" y="0"/>
                      <a:ext cx="1238380" cy="1238380"/>
                    </a:xfrm>
                    <a:prstGeom prst="rect">
                      <a:avLst/>
                    </a:prstGeom>
                  </pic:spPr>
                </pic:pic>
              </a:graphicData>
            </a:graphic>
          </wp:inline>
        </w:drawing>
      </w:r>
    </w:p>
    <w:p w14:paraId="7AB7D16F">
      <w:pPr>
        <w:jc w:val="center"/>
        <w:rPr>
          <w:rFonts w:hint="eastAsia"/>
          <w:sz w:val="21"/>
          <w:szCs w:val="18"/>
        </w:rPr>
      </w:pPr>
    </w:p>
    <w:p w14:paraId="0266FA72">
      <w:pPr>
        <w:jc w:val="center"/>
        <w:rPr>
          <w:rFonts w:hint="eastAsia"/>
        </w:rPr>
      </w:pPr>
    </w:p>
    <w:bookmarkEnd w:id="1"/>
    <w:p w14:paraId="43A2AB99">
      <w:pPr>
        <w:jc w:val="center"/>
        <w:rPr>
          <w:rFonts w:hint="eastAsia"/>
        </w:rPr>
      </w:pPr>
    </w:p>
    <w:p w14:paraId="3A1C0509">
      <w:pPr>
        <w:jc w:val="center"/>
        <w:rPr>
          <w:rFonts w:hint="eastAsia"/>
        </w:rPr>
      </w:pPr>
    </w:p>
    <w:tbl>
      <w:tblPr>
        <w:tblStyle w:val="2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77731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29DF1A9">
            <w:pPr>
              <w:spacing w:line="600" w:lineRule="exact"/>
              <w:jc w:val="distribute"/>
              <w:rPr>
                <w:rFonts w:hint="eastAsia"/>
                <w:sz w:val="24"/>
                <w:szCs w:val="24"/>
              </w:rPr>
            </w:pPr>
            <w:r>
              <w:rPr>
                <w:rFonts w:hint="eastAsia"/>
                <w:sz w:val="24"/>
                <w:szCs w:val="24"/>
              </w:rPr>
              <w:t>工程地点</w:t>
            </w:r>
          </w:p>
        </w:tc>
        <w:tc>
          <w:tcPr>
            <w:tcW w:w="456" w:type="dxa"/>
          </w:tcPr>
          <w:p w14:paraId="104CD283">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E34B791">
            <w:pPr>
              <w:spacing w:line="600" w:lineRule="exact"/>
              <w:jc w:val="center"/>
              <w:rPr>
                <w:rFonts w:hint="eastAsia"/>
                <w:sz w:val="24"/>
                <w:szCs w:val="24"/>
              </w:rPr>
            </w:pPr>
            <w:bookmarkStart w:id="5" w:name="项目地点1"/>
            <w:r>
              <w:rPr>
                <w:rFonts w:hint="eastAsia"/>
                <w:sz w:val="24"/>
                <w:szCs w:val="24"/>
              </w:rPr>
              <w:t>泉州</w:t>
            </w:r>
            <w:bookmarkEnd w:id="5"/>
          </w:p>
        </w:tc>
      </w:tr>
      <w:tr w14:paraId="63A3E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535408C">
            <w:pPr>
              <w:spacing w:line="600" w:lineRule="exact"/>
              <w:jc w:val="distribute"/>
              <w:rPr>
                <w:rFonts w:hint="eastAsia"/>
                <w:sz w:val="24"/>
                <w:szCs w:val="24"/>
              </w:rPr>
            </w:pPr>
            <w:r>
              <w:rPr>
                <w:rFonts w:hint="eastAsia"/>
                <w:sz w:val="24"/>
                <w:szCs w:val="24"/>
              </w:rPr>
              <w:t>建设单位</w:t>
            </w:r>
          </w:p>
        </w:tc>
        <w:tc>
          <w:tcPr>
            <w:tcW w:w="456" w:type="dxa"/>
          </w:tcPr>
          <w:p w14:paraId="36F9F12F">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2DA66600">
            <w:pPr>
              <w:spacing w:line="600" w:lineRule="exact"/>
              <w:jc w:val="center"/>
              <w:rPr>
                <w:rFonts w:hint="eastAsia"/>
                <w:sz w:val="24"/>
                <w:szCs w:val="24"/>
              </w:rPr>
            </w:pPr>
            <w:bookmarkStart w:id="6" w:name="建设单位"/>
            <w:r>
              <w:rPr>
                <w:rFonts w:hint="eastAsia"/>
                <w:sz w:val="24"/>
                <w:szCs w:val="24"/>
              </w:rPr>
              <w:t>福建理工大学</w:t>
            </w:r>
            <w:bookmarkEnd w:id="6"/>
          </w:p>
        </w:tc>
      </w:tr>
      <w:tr w14:paraId="3BA3B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177FAFD">
            <w:pPr>
              <w:spacing w:line="600" w:lineRule="exact"/>
              <w:jc w:val="distribute"/>
              <w:rPr>
                <w:rFonts w:hint="eastAsia"/>
                <w:sz w:val="24"/>
                <w:szCs w:val="24"/>
              </w:rPr>
            </w:pPr>
            <w:r>
              <w:rPr>
                <w:rFonts w:hint="eastAsia"/>
                <w:sz w:val="24"/>
                <w:szCs w:val="24"/>
              </w:rPr>
              <w:t>设计单位</w:t>
            </w:r>
          </w:p>
        </w:tc>
        <w:tc>
          <w:tcPr>
            <w:tcW w:w="456" w:type="dxa"/>
          </w:tcPr>
          <w:p w14:paraId="12E474EF">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166B111">
            <w:pPr>
              <w:spacing w:line="600" w:lineRule="exact"/>
              <w:jc w:val="center"/>
              <w:rPr>
                <w:rFonts w:hint="eastAsia"/>
                <w:sz w:val="24"/>
                <w:szCs w:val="24"/>
              </w:rPr>
            </w:pPr>
            <w:bookmarkStart w:id="7" w:name="设计单位"/>
            <w:r>
              <w:rPr>
                <w:rFonts w:hint="eastAsia"/>
                <w:sz w:val="24"/>
                <w:szCs w:val="24"/>
              </w:rPr>
              <w:t>建筑与城乡规划学院</w:t>
            </w:r>
            <w:bookmarkEnd w:id="7"/>
          </w:p>
        </w:tc>
      </w:tr>
      <w:tr w14:paraId="7510E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250EF8B">
            <w:pPr>
              <w:spacing w:line="600" w:lineRule="exact"/>
              <w:jc w:val="distribute"/>
              <w:rPr>
                <w:rFonts w:hint="eastAsia"/>
                <w:sz w:val="24"/>
                <w:szCs w:val="24"/>
              </w:rPr>
            </w:pPr>
            <w:r>
              <w:rPr>
                <w:rFonts w:hint="eastAsia"/>
                <w:sz w:val="24"/>
                <w:szCs w:val="24"/>
              </w:rPr>
              <w:t>设计人</w:t>
            </w:r>
          </w:p>
        </w:tc>
        <w:tc>
          <w:tcPr>
            <w:tcW w:w="456" w:type="dxa"/>
          </w:tcPr>
          <w:p w14:paraId="460254D4">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27D1EBB">
            <w:pPr>
              <w:spacing w:line="600" w:lineRule="exact"/>
              <w:jc w:val="center"/>
              <w:rPr>
                <w:rFonts w:hint="eastAsia"/>
                <w:sz w:val="24"/>
                <w:szCs w:val="24"/>
              </w:rPr>
            </w:pPr>
          </w:p>
        </w:tc>
      </w:tr>
      <w:tr w14:paraId="0B3C8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414D9D7">
            <w:pPr>
              <w:spacing w:line="600" w:lineRule="exact"/>
              <w:jc w:val="distribute"/>
              <w:rPr>
                <w:rFonts w:hint="eastAsia"/>
                <w:sz w:val="24"/>
                <w:szCs w:val="24"/>
              </w:rPr>
            </w:pPr>
            <w:r>
              <w:rPr>
                <w:rFonts w:hint="eastAsia"/>
                <w:sz w:val="24"/>
                <w:szCs w:val="24"/>
              </w:rPr>
              <w:t>校对人</w:t>
            </w:r>
          </w:p>
        </w:tc>
        <w:tc>
          <w:tcPr>
            <w:tcW w:w="456" w:type="dxa"/>
          </w:tcPr>
          <w:p w14:paraId="4EF5C6E0">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5DB5AF0">
            <w:pPr>
              <w:spacing w:line="600" w:lineRule="exact"/>
              <w:jc w:val="center"/>
              <w:rPr>
                <w:rFonts w:hint="eastAsia"/>
                <w:sz w:val="24"/>
                <w:szCs w:val="24"/>
              </w:rPr>
            </w:pPr>
          </w:p>
        </w:tc>
      </w:tr>
      <w:tr w14:paraId="3A83F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B47B78B">
            <w:pPr>
              <w:spacing w:line="600" w:lineRule="exact"/>
              <w:jc w:val="distribute"/>
              <w:rPr>
                <w:rFonts w:hint="eastAsia"/>
                <w:sz w:val="24"/>
                <w:szCs w:val="24"/>
              </w:rPr>
            </w:pPr>
            <w:r>
              <w:rPr>
                <w:rFonts w:hint="eastAsia"/>
                <w:sz w:val="24"/>
                <w:szCs w:val="24"/>
              </w:rPr>
              <w:t>审定人</w:t>
            </w:r>
          </w:p>
        </w:tc>
        <w:tc>
          <w:tcPr>
            <w:tcW w:w="456" w:type="dxa"/>
          </w:tcPr>
          <w:p w14:paraId="79592656">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C209F16">
            <w:pPr>
              <w:spacing w:line="600" w:lineRule="exact"/>
              <w:jc w:val="center"/>
              <w:rPr>
                <w:rFonts w:hint="eastAsia"/>
                <w:sz w:val="24"/>
                <w:szCs w:val="24"/>
              </w:rPr>
            </w:pPr>
          </w:p>
        </w:tc>
      </w:tr>
      <w:tr w14:paraId="4E21A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33171FC">
            <w:pPr>
              <w:spacing w:line="600" w:lineRule="exact"/>
              <w:jc w:val="distribute"/>
              <w:rPr>
                <w:rFonts w:hint="eastAsia"/>
                <w:sz w:val="24"/>
                <w:szCs w:val="24"/>
              </w:rPr>
            </w:pPr>
            <w:r>
              <w:rPr>
                <w:rFonts w:hint="eastAsia"/>
                <w:sz w:val="24"/>
                <w:szCs w:val="24"/>
              </w:rPr>
              <w:t>报告日期</w:t>
            </w:r>
          </w:p>
        </w:tc>
        <w:tc>
          <w:tcPr>
            <w:tcW w:w="456" w:type="dxa"/>
          </w:tcPr>
          <w:p w14:paraId="4AEEB4CD">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29AF7CF">
            <w:pPr>
              <w:spacing w:line="600" w:lineRule="exact"/>
              <w:jc w:val="center"/>
              <w:rPr>
                <w:rFonts w:hint="eastAsia"/>
                <w:sz w:val="24"/>
                <w:szCs w:val="24"/>
              </w:rPr>
            </w:pPr>
            <w:bookmarkStart w:id="8" w:name="计算日期"/>
            <w:r>
              <w:rPr>
                <w:rFonts w:hint="eastAsia"/>
                <w:sz w:val="24"/>
                <w:szCs w:val="24"/>
              </w:rPr>
              <w:t>2026年3月25日</w:t>
            </w:r>
            <w:bookmarkEnd w:id="8"/>
          </w:p>
        </w:tc>
      </w:tr>
    </w:tbl>
    <w:p w14:paraId="7C89477F">
      <w:pPr>
        <w:rPr>
          <w:rFonts w:asciiTheme="minorHAnsi" w:hAnsiTheme="minorHAnsi" w:eastAsiaTheme="minorEastAsia" w:cstheme="minorBidi"/>
          <w:kern w:val="2"/>
          <w:sz w:val="21"/>
          <w:szCs w:val="22"/>
        </w:rPr>
      </w:pPr>
    </w:p>
    <w:p w14:paraId="3988CF38">
      <w:pPr>
        <w:rPr>
          <w:rFonts w:hint="eastAsia"/>
          <w:szCs w:val="18"/>
        </w:rPr>
      </w:pPr>
    </w:p>
    <w:p w14:paraId="7EF4CE10">
      <w:pPr>
        <w:rPr>
          <w:rFonts w:hint="eastAsia"/>
          <w:szCs w:val="18"/>
        </w:rPr>
      </w:pPr>
    </w:p>
    <w:p w14:paraId="6F236D97">
      <w:pPr>
        <w:rPr>
          <w:rFonts w:hint="eastAsia"/>
          <w:szCs w:val="18"/>
        </w:rPr>
      </w:pPr>
    </w:p>
    <w:tbl>
      <w:tblPr>
        <w:tblStyle w:val="24"/>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77E2946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50826964">
            <w:pPr>
              <w:spacing w:before="156" w:beforeLines="50" w:line="180" w:lineRule="exact"/>
              <w:jc w:val="distribute"/>
              <w:rPr>
                <w:rFonts w:hint="eastAsia"/>
              </w:rPr>
            </w:pPr>
            <w:r>
              <w:rPr>
                <w:rFonts w:hint="eastAsia"/>
                <w:szCs w:val="18"/>
              </w:rPr>
              <w:t>采用软件</w:t>
            </w:r>
          </w:p>
        </w:tc>
        <w:tc>
          <w:tcPr>
            <w:tcW w:w="3108" w:type="dxa"/>
            <w:tcBorders>
              <w:top w:val="single" w:color="auto" w:sz="2" w:space="0"/>
              <w:left w:val="nil"/>
              <w:bottom w:val="nil"/>
              <w:right w:val="nil"/>
            </w:tcBorders>
            <w:vAlign w:val="bottom"/>
          </w:tcPr>
          <w:p w14:paraId="3611F732">
            <w:pPr>
              <w:spacing w:line="180" w:lineRule="exact"/>
              <w:ind w:left="-29" w:leftChars="-16" w:right="-90" w:rightChars="-50"/>
              <w:rPr>
                <w:rFonts w:hint="eastAsia"/>
              </w:rPr>
            </w:pPr>
            <w:r>
              <w:rPr>
                <w:rFonts w:hint="eastAsia"/>
                <w:szCs w:val="18"/>
              </w:rPr>
              <w:t>：</w:t>
            </w:r>
            <w:bookmarkStart w:id="9" w:name="采用软件"/>
            <w:r>
              <w:rPr>
                <w:rFonts w:hint="eastAsia"/>
                <w:szCs w:val="18"/>
              </w:rPr>
              <w:t>采光分析DALI2025</w:t>
            </w:r>
            <w:bookmarkEnd w:id="9"/>
          </w:p>
        </w:tc>
        <w:tc>
          <w:tcPr>
            <w:tcW w:w="3957" w:type="dxa"/>
            <w:vMerge w:val="restart"/>
            <w:tcBorders>
              <w:top w:val="single" w:color="auto" w:sz="2" w:space="0"/>
              <w:left w:val="nil"/>
              <w:bottom w:val="nil"/>
              <w:right w:val="nil"/>
            </w:tcBorders>
            <w:vAlign w:val="bottom"/>
          </w:tcPr>
          <w:p w14:paraId="6A451925">
            <w:pPr>
              <w:spacing w:line="240" w:lineRule="auto"/>
              <w:ind w:left="-211" w:leftChars="-117"/>
              <w:jc w:val="right"/>
              <w:rPr>
                <w:rFonts w:hint="eastAsia"/>
                <w:color w:val="767171" w:themeColor="background2" w:themeShade="80"/>
                <w:sz w:val="21"/>
              </w:rPr>
            </w:pPr>
            <w:r>
              <w:drawing>
                <wp:inline distT="0" distB="0" distL="0" distR="0">
                  <wp:extent cx="1951355" cy="5048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951355" cy="504825"/>
                          </a:xfrm>
                          <a:prstGeom prst="rect">
                            <a:avLst/>
                          </a:prstGeom>
                          <a:noFill/>
                          <a:ln>
                            <a:noFill/>
                          </a:ln>
                        </pic:spPr>
                      </pic:pic>
                    </a:graphicData>
                  </a:graphic>
                </wp:inline>
              </w:drawing>
            </w:r>
          </w:p>
        </w:tc>
      </w:tr>
      <w:tr w14:paraId="43F9212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4A6520B1">
            <w:pPr>
              <w:spacing w:line="180" w:lineRule="exact"/>
              <w:jc w:val="distribute"/>
              <w:rPr>
                <w:rFonts w:hint="eastAsia"/>
              </w:rPr>
            </w:pPr>
            <w:r>
              <w:rPr>
                <w:rFonts w:hint="eastAsia"/>
                <w:szCs w:val="18"/>
              </w:rPr>
              <w:t>软件版本</w:t>
            </w:r>
          </w:p>
        </w:tc>
        <w:tc>
          <w:tcPr>
            <w:tcW w:w="3108" w:type="dxa"/>
            <w:tcBorders>
              <w:top w:val="nil"/>
              <w:left w:val="nil"/>
              <w:bottom w:val="nil"/>
              <w:right w:val="nil"/>
            </w:tcBorders>
            <w:vAlign w:val="bottom"/>
          </w:tcPr>
          <w:p w14:paraId="24A41353">
            <w:pPr>
              <w:spacing w:line="180" w:lineRule="exact"/>
              <w:ind w:left="-29" w:leftChars="-16"/>
              <w:rPr>
                <w:rFonts w:hint="eastAsia"/>
              </w:rPr>
            </w:pPr>
            <w:r>
              <w:rPr>
                <w:rFonts w:hint="eastAsia"/>
                <w:szCs w:val="18"/>
              </w:rPr>
              <w:t>：</w:t>
            </w:r>
            <w:bookmarkStart w:id="10" w:name="软件版本"/>
            <w:r>
              <w:rPr>
                <w:rFonts w:hint="eastAsia"/>
                <w:szCs w:val="18"/>
              </w:rPr>
              <w:t>20250505(PLUS)</w:t>
            </w:r>
            <w:bookmarkEnd w:id="10"/>
          </w:p>
        </w:tc>
        <w:tc>
          <w:tcPr>
            <w:tcW w:w="3957" w:type="dxa"/>
            <w:vMerge w:val="continue"/>
            <w:tcBorders>
              <w:top w:val="single" w:color="auto" w:sz="2" w:space="0"/>
              <w:left w:val="nil"/>
              <w:bottom w:val="nil"/>
              <w:right w:val="nil"/>
            </w:tcBorders>
            <w:vAlign w:val="center"/>
          </w:tcPr>
          <w:p w14:paraId="458615A4">
            <w:pPr>
              <w:snapToGrid/>
              <w:spacing w:line="360" w:lineRule="exact"/>
              <w:rPr>
                <w:rFonts w:hint="eastAsia"/>
                <w:color w:val="767171" w:themeColor="background2" w:themeShade="80"/>
                <w:sz w:val="21"/>
                <w:szCs w:val="18"/>
              </w:rPr>
            </w:pPr>
          </w:p>
        </w:tc>
      </w:tr>
      <w:tr w14:paraId="5768734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47799036">
            <w:pPr>
              <w:spacing w:line="180" w:lineRule="exact"/>
              <w:jc w:val="distribute"/>
              <w:rPr>
                <w:rFonts w:hint="eastAsia"/>
              </w:rPr>
            </w:pPr>
            <w:r>
              <w:rPr>
                <w:rFonts w:hint="eastAsia"/>
                <w:szCs w:val="18"/>
              </w:rPr>
              <w:t>正版授权码</w:t>
            </w:r>
          </w:p>
        </w:tc>
        <w:tc>
          <w:tcPr>
            <w:tcW w:w="3108" w:type="dxa"/>
            <w:tcBorders>
              <w:top w:val="nil"/>
              <w:left w:val="nil"/>
              <w:bottom w:val="nil"/>
              <w:right w:val="nil"/>
            </w:tcBorders>
            <w:vAlign w:val="bottom"/>
          </w:tcPr>
          <w:p w14:paraId="1D9E468E">
            <w:pPr>
              <w:spacing w:line="180" w:lineRule="exact"/>
              <w:ind w:left="-29" w:leftChars="-16"/>
              <w:rPr>
                <w:rFonts w:hint="eastAsia"/>
              </w:rPr>
            </w:pPr>
            <w:r>
              <w:rPr>
                <w:rFonts w:hint="eastAsia"/>
                <w:szCs w:val="18"/>
              </w:rPr>
              <w:t>：</w:t>
            </w:r>
            <w:bookmarkStart w:id="11" w:name="正版授权码"/>
            <w:r>
              <w:rPr>
                <w:rFonts w:hint="eastAsia"/>
                <w:szCs w:val="18"/>
              </w:rPr>
              <w:t>T18877719346</w:t>
            </w:r>
            <w:bookmarkEnd w:id="11"/>
          </w:p>
        </w:tc>
        <w:tc>
          <w:tcPr>
            <w:tcW w:w="3957" w:type="dxa"/>
            <w:vMerge w:val="continue"/>
            <w:tcBorders>
              <w:top w:val="single" w:color="auto" w:sz="2" w:space="0"/>
              <w:left w:val="nil"/>
              <w:bottom w:val="nil"/>
              <w:right w:val="nil"/>
            </w:tcBorders>
            <w:vAlign w:val="center"/>
          </w:tcPr>
          <w:p w14:paraId="5C056E61">
            <w:pPr>
              <w:snapToGrid/>
              <w:spacing w:line="360" w:lineRule="exact"/>
              <w:rPr>
                <w:rFonts w:hint="eastAsia"/>
                <w:color w:val="767171" w:themeColor="background2" w:themeShade="80"/>
                <w:sz w:val="21"/>
                <w:szCs w:val="18"/>
              </w:rPr>
            </w:pPr>
          </w:p>
        </w:tc>
      </w:tr>
      <w:tr w14:paraId="14C2872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D1C38AC">
            <w:pPr>
              <w:spacing w:line="180" w:lineRule="exact"/>
              <w:jc w:val="distribute"/>
              <w:rPr>
                <w:rFonts w:hint="eastAsia"/>
              </w:rPr>
            </w:pPr>
            <w:r>
              <w:rPr>
                <w:rFonts w:hint="eastAsia"/>
                <w:szCs w:val="18"/>
              </w:rPr>
              <w:t>研发单位</w:t>
            </w:r>
          </w:p>
        </w:tc>
        <w:tc>
          <w:tcPr>
            <w:tcW w:w="3108" w:type="dxa"/>
            <w:tcBorders>
              <w:top w:val="nil"/>
              <w:left w:val="nil"/>
              <w:bottom w:val="nil"/>
              <w:right w:val="nil"/>
            </w:tcBorders>
            <w:vAlign w:val="bottom"/>
          </w:tcPr>
          <w:p w14:paraId="1EB70750">
            <w:pPr>
              <w:spacing w:line="180" w:lineRule="exact"/>
              <w:ind w:left="-29" w:leftChars="-16"/>
              <w:rPr>
                <w:rFonts w:hint="eastAsia"/>
              </w:rPr>
            </w:pPr>
            <w:r>
              <w:rPr>
                <w:rFonts w:hint="eastAsia"/>
                <w:szCs w:val="18"/>
              </w:rPr>
              <w:t>：北京绿建软件股份有限公司</w:t>
            </w:r>
          </w:p>
        </w:tc>
        <w:tc>
          <w:tcPr>
            <w:tcW w:w="3957" w:type="dxa"/>
            <w:vMerge w:val="continue"/>
            <w:tcBorders>
              <w:top w:val="single" w:color="auto" w:sz="2" w:space="0"/>
              <w:left w:val="nil"/>
              <w:bottom w:val="nil"/>
              <w:right w:val="nil"/>
            </w:tcBorders>
            <w:vAlign w:val="center"/>
          </w:tcPr>
          <w:p w14:paraId="6EA03FF5">
            <w:pPr>
              <w:snapToGrid/>
              <w:spacing w:line="360" w:lineRule="exact"/>
              <w:rPr>
                <w:rFonts w:hint="eastAsia"/>
                <w:color w:val="767171" w:themeColor="background2" w:themeShade="80"/>
                <w:sz w:val="21"/>
                <w:szCs w:val="18"/>
              </w:rPr>
            </w:pPr>
          </w:p>
        </w:tc>
      </w:tr>
      <w:bookmarkEnd w:id="0"/>
    </w:tbl>
    <w:p w14:paraId="70BFD581">
      <w:pPr>
        <w:rPr>
          <w:rFonts w:hint="eastAsia"/>
        </w:rPr>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284" w:left="1418" w:header="851" w:footer="0" w:gutter="0"/>
          <w:cols w:space="425" w:num="1"/>
          <w:titlePg/>
          <w:docGrid w:type="lines" w:linePitch="312" w:charSpace="0"/>
        </w:sectPr>
      </w:pPr>
    </w:p>
    <w:p w14:paraId="72652F37">
      <w:pPr>
        <w:jc w:val="center"/>
        <w:rPr>
          <w:rFonts w:hint="eastAsia"/>
          <w:sz w:val="28"/>
          <w:szCs w:val="28"/>
        </w:rPr>
      </w:pPr>
      <w:bookmarkStart w:id="12" w:name="目录"/>
      <w:r>
        <w:rPr>
          <w:rFonts w:hint="eastAsia"/>
          <w:sz w:val="28"/>
          <w:szCs w:val="28"/>
        </w:rPr>
        <w:t>目  录</w:t>
      </w:r>
    </w:p>
    <w:p w14:paraId="6C8D15AE">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_Toc19350 </w:instrText>
      </w:r>
      <w:r>
        <w:rPr>
          <w:szCs w:val="28"/>
        </w:rPr>
        <w:fldChar w:fldCharType="separate"/>
      </w:r>
      <w:r>
        <w:rPr>
          <w:rFonts w:hint="eastAsia" w:ascii="微软雅黑" w:hAnsi="微软雅黑"/>
        </w:rPr>
        <w:t>1. 建筑概况</w:t>
      </w:r>
      <w:r>
        <w:tab/>
      </w:r>
      <w:r>
        <w:fldChar w:fldCharType="begin"/>
      </w:r>
      <w:r>
        <w:instrText xml:space="preserve"> PAGEREF _Toc19350 \h </w:instrText>
      </w:r>
      <w:r>
        <w:fldChar w:fldCharType="separate"/>
      </w:r>
      <w:r>
        <w:t>4</w:t>
      </w:r>
      <w:r>
        <w:fldChar w:fldCharType="end"/>
      </w:r>
      <w:r>
        <w:rPr>
          <w:szCs w:val="28"/>
        </w:rPr>
        <w:fldChar w:fldCharType="end"/>
      </w:r>
    </w:p>
    <w:p w14:paraId="780FD133">
      <w:pPr>
        <w:pStyle w:val="19"/>
        <w:tabs>
          <w:tab w:val="right" w:leader="dot" w:pos="9070"/>
          <w:tab w:val="clear" w:pos="180"/>
          <w:tab w:val="clear" w:pos="420"/>
          <w:tab w:val="clear" w:pos="9360"/>
        </w:tabs>
      </w:pPr>
      <w:r>
        <w:rPr>
          <w:szCs w:val="28"/>
        </w:rPr>
        <w:fldChar w:fldCharType="begin"/>
      </w:r>
      <w:r>
        <w:rPr>
          <w:szCs w:val="28"/>
        </w:rPr>
        <w:instrText xml:space="preserve"> HYPERLINK \l _Toc13176 </w:instrText>
      </w:r>
      <w:r>
        <w:rPr>
          <w:szCs w:val="28"/>
        </w:rPr>
        <w:fldChar w:fldCharType="separate"/>
      </w:r>
      <w:r>
        <w:rPr>
          <w:rFonts w:hint="eastAsia" w:ascii="微软雅黑" w:hAnsi="微软雅黑"/>
        </w:rPr>
        <w:t>2. 计算</w:t>
      </w:r>
      <w:r>
        <w:rPr>
          <w:rFonts w:ascii="微软雅黑" w:hAnsi="微软雅黑"/>
        </w:rPr>
        <w:t>目的</w:t>
      </w:r>
      <w:r>
        <w:tab/>
      </w:r>
      <w:r>
        <w:fldChar w:fldCharType="begin"/>
      </w:r>
      <w:r>
        <w:instrText xml:space="preserve"> PAGEREF _Toc13176 \h </w:instrText>
      </w:r>
      <w:r>
        <w:fldChar w:fldCharType="separate"/>
      </w:r>
      <w:r>
        <w:t>4</w:t>
      </w:r>
      <w:r>
        <w:fldChar w:fldCharType="end"/>
      </w:r>
      <w:r>
        <w:rPr>
          <w:szCs w:val="28"/>
        </w:rPr>
        <w:fldChar w:fldCharType="end"/>
      </w:r>
    </w:p>
    <w:p w14:paraId="3200C25A">
      <w:pPr>
        <w:pStyle w:val="19"/>
        <w:tabs>
          <w:tab w:val="right" w:leader="dot" w:pos="9070"/>
          <w:tab w:val="clear" w:pos="180"/>
          <w:tab w:val="clear" w:pos="420"/>
          <w:tab w:val="clear" w:pos="9360"/>
        </w:tabs>
      </w:pPr>
      <w:r>
        <w:rPr>
          <w:szCs w:val="28"/>
        </w:rPr>
        <w:fldChar w:fldCharType="begin"/>
      </w:r>
      <w:r>
        <w:rPr>
          <w:szCs w:val="28"/>
        </w:rPr>
        <w:instrText xml:space="preserve"> HYPERLINK \l _Toc13998 </w:instrText>
      </w:r>
      <w:r>
        <w:rPr>
          <w:szCs w:val="28"/>
        </w:rPr>
        <w:fldChar w:fldCharType="separate"/>
      </w:r>
      <w:r>
        <w:rPr>
          <w:rFonts w:hint="eastAsia" w:ascii="微软雅黑" w:hAnsi="微软雅黑"/>
        </w:rPr>
        <w:t>3. 分析依据</w:t>
      </w:r>
      <w:r>
        <w:tab/>
      </w:r>
      <w:r>
        <w:fldChar w:fldCharType="begin"/>
      </w:r>
      <w:r>
        <w:instrText xml:space="preserve"> PAGEREF _Toc13998 \h </w:instrText>
      </w:r>
      <w:r>
        <w:fldChar w:fldCharType="separate"/>
      </w:r>
      <w:r>
        <w:t>4</w:t>
      </w:r>
      <w:r>
        <w:fldChar w:fldCharType="end"/>
      </w:r>
      <w:r>
        <w:rPr>
          <w:szCs w:val="28"/>
        </w:rPr>
        <w:fldChar w:fldCharType="end"/>
      </w:r>
    </w:p>
    <w:p w14:paraId="70CAD77A">
      <w:pPr>
        <w:pStyle w:val="20"/>
        <w:tabs>
          <w:tab w:val="right" w:leader="dot" w:pos="9070"/>
          <w:tab w:val="clear" w:pos="540"/>
          <w:tab w:val="clear" w:pos="840"/>
          <w:tab w:val="clear" w:pos="9360"/>
        </w:tabs>
      </w:pPr>
      <w:r>
        <w:rPr>
          <w:szCs w:val="28"/>
        </w:rPr>
        <w:fldChar w:fldCharType="begin"/>
      </w:r>
      <w:r>
        <w:rPr>
          <w:szCs w:val="28"/>
        </w:rPr>
        <w:instrText xml:space="preserve"> HYPERLINK \l _Toc5032 </w:instrText>
      </w:r>
      <w:r>
        <w:rPr>
          <w:szCs w:val="28"/>
        </w:rPr>
        <w:fldChar w:fldCharType="separate"/>
      </w:r>
      <w:r>
        <w:rPr>
          <w:rFonts w:hint="eastAsia" w:ascii="微软雅黑" w:hAnsi="微软雅黑" w:eastAsia="微软雅黑"/>
          <w:lang w:val="en-GB"/>
        </w:rPr>
        <w:t xml:space="preserve">3.1 </w:t>
      </w:r>
      <w:r>
        <w:rPr>
          <w:rFonts w:hint="eastAsia" w:ascii="微软雅黑" w:hAnsi="微软雅黑"/>
        </w:rPr>
        <w:t>标准依据</w:t>
      </w:r>
      <w:r>
        <w:tab/>
      </w:r>
      <w:r>
        <w:fldChar w:fldCharType="begin"/>
      </w:r>
      <w:r>
        <w:instrText xml:space="preserve"> PAGEREF _Toc5032 \h </w:instrText>
      </w:r>
      <w:r>
        <w:fldChar w:fldCharType="separate"/>
      </w:r>
      <w:r>
        <w:t>4</w:t>
      </w:r>
      <w:r>
        <w:fldChar w:fldCharType="end"/>
      </w:r>
      <w:r>
        <w:rPr>
          <w:szCs w:val="28"/>
        </w:rPr>
        <w:fldChar w:fldCharType="end"/>
      </w:r>
    </w:p>
    <w:p w14:paraId="4426D02E">
      <w:pPr>
        <w:pStyle w:val="20"/>
        <w:tabs>
          <w:tab w:val="right" w:leader="dot" w:pos="9070"/>
          <w:tab w:val="clear" w:pos="540"/>
          <w:tab w:val="clear" w:pos="840"/>
          <w:tab w:val="clear" w:pos="9360"/>
        </w:tabs>
      </w:pPr>
      <w:r>
        <w:rPr>
          <w:szCs w:val="28"/>
        </w:rPr>
        <w:fldChar w:fldCharType="begin"/>
      </w:r>
      <w:r>
        <w:rPr>
          <w:szCs w:val="28"/>
        </w:rPr>
        <w:instrText xml:space="preserve"> HYPERLINK \l _Toc17238 </w:instrText>
      </w:r>
      <w:r>
        <w:rPr>
          <w:szCs w:val="28"/>
        </w:rPr>
        <w:fldChar w:fldCharType="separate"/>
      </w:r>
      <w:r>
        <w:rPr>
          <w:rFonts w:hint="eastAsia" w:ascii="微软雅黑" w:hAnsi="微软雅黑" w:eastAsia="微软雅黑"/>
          <w:lang w:val="en-GB"/>
        </w:rPr>
        <w:t xml:space="preserve">3.2 </w:t>
      </w:r>
      <w:r>
        <w:rPr>
          <w:rFonts w:hint="eastAsia" w:ascii="微软雅黑" w:hAnsi="微软雅黑"/>
        </w:rPr>
        <w:t>标准要求</w:t>
      </w:r>
      <w:r>
        <w:tab/>
      </w:r>
      <w:r>
        <w:fldChar w:fldCharType="begin"/>
      </w:r>
      <w:r>
        <w:instrText xml:space="preserve"> PAGEREF _Toc17238 \h </w:instrText>
      </w:r>
      <w:r>
        <w:fldChar w:fldCharType="separate"/>
      </w:r>
      <w:r>
        <w:t>4</w:t>
      </w:r>
      <w:r>
        <w:fldChar w:fldCharType="end"/>
      </w:r>
      <w:r>
        <w:rPr>
          <w:szCs w:val="28"/>
        </w:rPr>
        <w:fldChar w:fldCharType="end"/>
      </w:r>
    </w:p>
    <w:p w14:paraId="6D7F7876">
      <w:pPr>
        <w:pStyle w:val="19"/>
        <w:tabs>
          <w:tab w:val="right" w:leader="dot" w:pos="9070"/>
          <w:tab w:val="clear" w:pos="180"/>
          <w:tab w:val="clear" w:pos="420"/>
          <w:tab w:val="clear" w:pos="9360"/>
        </w:tabs>
      </w:pPr>
      <w:r>
        <w:rPr>
          <w:szCs w:val="28"/>
        </w:rPr>
        <w:fldChar w:fldCharType="begin"/>
      </w:r>
      <w:r>
        <w:rPr>
          <w:szCs w:val="28"/>
        </w:rPr>
        <w:instrText xml:space="preserve"> HYPERLINK \l _Toc12584 </w:instrText>
      </w:r>
      <w:r>
        <w:rPr>
          <w:szCs w:val="28"/>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_Toc12584 \h </w:instrText>
      </w:r>
      <w:r>
        <w:fldChar w:fldCharType="separate"/>
      </w:r>
      <w:r>
        <w:t>5</w:t>
      </w:r>
      <w:r>
        <w:fldChar w:fldCharType="end"/>
      </w:r>
      <w:r>
        <w:rPr>
          <w:szCs w:val="28"/>
        </w:rPr>
        <w:fldChar w:fldCharType="end"/>
      </w:r>
    </w:p>
    <w:p w14:paraId="6E9376E1">
      <w:pPr>
        <w:pStyle w:val="20"/>
        <w:tabs>
          <w:tab w:val="right" w:leader="dot" w:pos="9070"/>
          <w:tab w:val="clear" w:pos="540"/>
          <w:tab w:val="clear" w:pos="840"/>
          <w:tab w:val="clear" w:pos="9360"/>
        </w:tabs>
      </w:pPr>
      <w:r>
        <w:rPr>
          <w:szCs w:val="28"/>
        </w:rPr>
        <w:fldChar w:fldCharType="begin"/>
      </w:r>
      <w:r>
        <w:rPr>
          <w:szCs w:val="28"/>
        </w:rPr>
        <w:instrText xml:space="preserve"> HYPERLINK \l _Toc16146 </w:instrText>
      </w:r>
      <w:r>
        <w:rPr>
          <w:szCs w:val="28"/>
        </w:rPr>
        <w:fldChar w:fldCharType="separate"/>
      </w:r>
      <w:r>
        <w:rPr>
          <w:rFonts w:hint="eastAsia" w:ascii="微软雅黑" w:hAnsi="微软雅黑" w:eastAsia="微软雅黑"/>
          <w:lang w:val="en-GB"/>
        </w:rPr>
        <w:t xml:space="preserve">4.1 </w:t>
      </w:r>
      <w:r>
        <w:rPr>
          <w:rFonts w:hint="eastAsia" w:ascii="微软雅黑" w:hAnsi="微软雅黑"/>
        </w:rPr>
        <w:t>计算方法</w:t>
      </w:r>
      <w:r>
        <w:tab/>
      </w:r>
      <w:r>
        <w:fldChar w:fldCharType="begin"/>
      </w:r>
      <w:r>
        <w:instrText xml:space="preserve"> PAGEREF _Toc16146 \h </w:instrText>
      </w:r>
      <w:r>
        <w:fldChar w:fldCharType="separate"/>
      </w:r>
      <w:r>
        <w:t>5</w:t>
      </w:r>
      <w:r>
        <w:fldChar w:fldCharType="end"/>
      </w:r>
      <w:r>
        <w:rPr>
          <w:szCs w:val="28"/>
        </w:rPr>
        <w:fldChar w:fldCharType="end"/>
      </w:r>
    </w:p>
    <w:p w14:paraId="4BBDE2FE">
      <w:pPr>
        <w:pStyle w:val="20"/>
        <w:tabs>
          <w:tab w:val="right" w:leader="dot" w:pos="9070"/>
          <w:tab w:val="clear" w:pos="540"/>
          <w:tab w:val="clear" w:pos="840"/>
          <w:tab w:val="clear" w:pos="9360"/>
        </w:tabs>
      </w:pPr>
      <w:r>
        <w:rPr>
          <w:szCs w:val="28"/>
        </w:rPr>
        <w:fldChar w:fldCharType="begin"/>
      </w:r>
      <w:r>
        <w:rPr>
          <w:szCs w:val="28"/>
        </w:rPr>
        <w:instrText xml:space="preserve"> HYPERLINK \l _Toc25956 </w:instrText>
      </w:r>
      <w:r>
        <w:rPr>
          <w:szCs w:val="28"/>
        </w:rPr>
        <w:fldChar w:fldCharType="separate"/>
      </w:r>
      <w:r>
        <w:rPr>
          <w:rFonts w:hint="eastAsia" w:ascii="微软雅黑" w:hAnsi="微软雅黑" w:eastAsia="微软雅黑"/>
          <w:lang w:val="en-GB"/>
        </w:rPr>
        <w:t xml:space="preserve">4.2 </w:t>
      </w:r>
      <w:r>
        <w:rPr>
          <w:rFonts w:ascii="微软雅黑" w:hAnsi="微软雅黑"/>
        </w:rPr>
        <w:t>软件</w:t>
      </w:r>
      <w:r>
        <w:rPr>
          <w:rFonts w:hint="eastAsia" w:ascii="微软雅黑" w:hAnsi="微软雅黑"/>
        </w:rPr>
        <w:t>选用</w:t>
      </w:r>
      <w:r>
        <w:tab/>
      </w:r>
      <w:r>
        <w:fldChar w:fldCharType="begin"/>
      </w:r>
      <w:r>
        <w:instrText xml:space="preserve"> PAGEREF _Toc25956 \h </w:instrText>
      </w:r>
      <w:r>
        <w:fldChar w:fldCharType="separate"/>
      </w:r>
      <w:r>
        <w:t>5</w:t>
      </w:r>
      <w:r>
        <w:fldChar w:fldCharType="end"/>
      </w:r>
      <w:r>
        <w:rPr>
          <w:szCs w:val="28"/>
        </w:rPr>
        <w:fldChar w:fldCharType="end"/>
      </w:r>
    </w:p>
    <w:p w14:paraId="2C1FF76B">
      <w:pPr>
        <w:pStyle w:val="19"/>
        <w:tabs>
          <w:tab w:val="right" w:leader="dot" w:pos="9070"/>
          <w:tab w:val="clear" w:pos="180"/>
          <w:tab w:val="clear" w:pos="420"/>
          <w:tab w:val="clear" w:pos="9360"/>
        </w:tabs>
      </w:pPr>
      <w:r>
        <w:rPr>
          <w:szCs w:val="28"/>
        </w:rPr>
        <w:fldChar w:fldCharType="begin"/>
      </w:r>
      <w:r>
        <w:rPr>
          <w:szCs w:val="28"/>
        </w:rPr>
        <w:instrText xml:space="preserve"> HYPERLINK \l _Toc16300 </w:instrText>
      </w:r>
      <w:r>
        <w:rPr>
          <w:szCs w:val="28"/>
        </w:rPr>
        <w:fldChar w:fldCharType="separate"/>
      </w:r>
      <w:r>
        <w:rPr>
          <w:rFonts w:hint="eastAsia" w:ascii="微软雅黑" w:hAnsi="微软雅黑"/>
        </w:rPr>
        <w:t>5. 计算参数选用</w:t>
      </w:r>
      <w:r>
        <w:tab/>
      </w:r>
      <w:r>
        <w:fldChar w:fldCharType="begin"/>
      </w:r>
      <w:r>
        <w:instrText xml:space="preserve"> PAGEREF _Toc16300 \h </w:instrText>
      </w:r>
      <w:r>
        <w:fldChar w:fldCharType="separate"/>
      </w:r>
      <w:r>
        <w:t>6</w:t>
      </w:r>
      <w:r>
        <w:fldChar w:fldCharType="end"/>
      </w:r>
      <w:r>
        <w:rPr>
          <w:szCs w:val="28"/>
        </w:rPr>
        <w:fldChar w:fldCharType="end"/>
      </w:r>
    </w:p>
    <w:p w14:paraId="685658DA">
      <w:pPr>
        <w:pStyle w:val="20"/>
        <w:tabs>
          <w:tab w:val="right" w:leader="dot" w:pos="9070"/>
          <w:tab w:val="clear" w:pos="540"/>
          <w:tab w:val="clear" w:pos="840"/>
          <w:tab w:val="clear" w:pos="9360"/>
        </w:tabs>
      </w:pPr>
      <w:r>
        <w:rPr>
          <w:szCs w:val="28"/>
        </w:rPr>
        <w:fldChar w:fldCharType="begin"/>
      </w:r>
      <w:r>
        <w:rPr>
          <w:szCs w:val="28"/>
        </w:rPr>
        <w:instrText xml:space="preserve"> HYPERLINK \l _Toc20681 </w:instrText>
      </w:r>
      <w:r>
        <w:rPr>
          <w:szCs w:val="28"/>
        </w:rPr>
        <w:fldChar w:fldCharType="separate"/>
      </w:r>
      <w:r>
        <w:rPr>
          <w:rFonts w:hint="eastAsia" w:ascii="微软雅黑" w:hAnsi="微软雅黑" w:eastAsia="微软雅黑"/>
          <w:lang w:val="en-GB"/>
        </w:rPr>
        <w:t xml:space="preserve">5.1 </w:t>
      </w:r>
      <w:r>
        <w:rPr>
          <w:rFonts w:hint="eastAsia" w:ascii="微软雅黑" w:hAnsi="微软雅黑"/>
        </w:rPr>
        <w:t>模拟条件</w:t>
      </w:r>
      <w:r>
        <w:tab/>
      </w:r>
      <w:r>
        <w:fldChar w:fldCharType="begin"/>
      </w:r>
      <w:r>
        <w:instrText xml:space="preserve"> PAGEREF _Toc20681 \h </w:instrText>
      </w:r>
      <w:r>
        <w:fldChar w:fldCharType="separate"/>
      </w:r>
      <w:r>
        <w:t>6</w:t>
      </w:r>
      <w:r>
        <w:fldChar w:fldCharType="end"/>
      </w:r>
      <w:r>
        <w:rPr>
          <w:szCs w:val="28"/>
        </w:rPr>
        <w:fldChar w:fldCharType="end"/>
      </w:r>
    </w:p>
    <w:p w14:paraId="38E74D39">
      <w:pPr>
        <w:pStyle w:val="20"/>
        <w:tabs>
          <w:tab w:val="right" w:leader="dot" w:pos="9070"/>
          <w:tab w:val="clear" w:pos="540"/>
          <w:tab w:val="clear" w:pos="840"/>
          <w:tab w:val="clear" w:pos="9360"/>
        </w:tabs>
      </w:pPr>
      <w:r>
        <w:rPr>
          <w:szCs w:val="28"/>
        </w:rPr>
        <w:fldChar w:fldCharType="begin"/>
      </w:r>
      <w:r>
        <w:rPr>
          <w:szCs w:val="28"/>
        </w:rPr>
        <w:instrText xml:space="preserve"> HYPERLINK \l _Toc26242 </w:instrText>
      </w:r>
      <w:r>
        <w:rPr>
          <w:szCs w:val="28"/>
        </w:rPr>
        <w:fldChar w:fldCharType="separate"/>
      </w:r>
      <w:r>
        <w:rPr>
          <w:rFonts w:hint="eastAsia" w:ascii="微软雅黑" w:hAnsi="微软雅黑" w:eastAsia="微软雅黑"/>
          <w:lang w:val="en-GB"/>
        </w:rPr>
        <w:t xml:space="preserve">5.2 </w:t>
      </w:r>
      <w:r>
        <w:rPr>
          <w:rFonts w:hint="eastAsia" w:ascii="微软雅黑" w:hAnsi="微软雅黑"/>
        </w:rPr>
        <w:t>建筑饰面材料参数</w:t>
      </w:r>
      <w:r>
        <w:tab/>
      </w:r>
      <w:r>
        <w:fldChar w:fldCharType="begin"/>
      </w:r>
      <w:r>
        <w:instrText xml:space="preserve"> PAGEREF _Toc26242 \h </w:instrText>
      </w:r>
      <w:r>
        <w:fldChar w:fldCharType="separate"/>
      </w:r>
      <w:r>
        <w:t>6</w:t>
      </w:r>
      <w:r>
        <w:fldChar w:fldCharType="end"/>
      </w:r>
      <w:r>
        <w:rPr>
          <w:szCs w:val="28"/>
        </w:rPr>
        <w:fldChar w:fldCharType="end"/>
      </w:r>
    </w:p>
    <w:p w14:paraId="7C421A4B">
      <w:pPr>
        <w:pStyle w:val="20"/>
        <w:tabs>
          <w:tab w:val="right" w:leader="dot" w:pos="9070"/>
          <w:tab w:val="clear" w:pos="540"/>
          <w:tab w:val="clear" w:pos="840"/>
          <w:tab w:val="clear" w:pos="9360"/>
        </w:tabs>
      </w:pPr>
      <w:r>
        <w:rPr>
          <w:szCs w:val="28"/>
        </w:rPr>
        <w:fldChar w:fldCharType="begin"/>
      </w:r>
      <w:r>
        <w:rPr>
          <w:szCs w:val="28"/>
        </w:rPr>
        <w:instrText xml:space="preserve"> HYPERLINK \l _Toc3930 </w:instrText>
      </w:r>
      <w:r>
        <w:rPr>
          <w:szCs w:val="28"/>
        </w:rPr>
        <w:fldChar w:fldCharType="separate"/>
      </w:r>
      <w:r>
        <w:rPr>
          <w:rFonts w:hint="eastAsia" w:ascii="微软雅黑" w:hAnsi="微软雅黑" w:eastAsia="微软雅黑"/>
          <w:lang w:val="en-GB"/>
        </w:rPr>
        <w:t xml:space="preserve">5.3 </w:t>
      </w:r>
      <w:r>
        <w:rPr>
          <w:rFonts w:hint="eastAsia" w:ascii="微软雅黑" w:hAnsi="微软雅黑"/>
        </w:rPr>
        <w:t>门窗类型参数</w:t>
      </w:r>
      <w:r>
        <w:tab/>
      </w:r>
      <w:r>
        <w:fldChar w:fldCharType="begin"/>
      </w:r>
      <w:r>
        <w:instrText xml:space="preserve"> PAGEREF _Toc3930 \h </w:instrText>
      </w:r>
      <w:r>
        <w:fldChar w:fldCharType="separate"/>
      </w:r>
      <w:r>
        <w:t>6</w:t>
      </w:r>
      <w:r>
        <w:fldChar w:fldCharType="end"/>
      </w:r>
      <w:r>
        <w:rPr>
          <w:szCs w:val="28"/>
        </w:rPr>
        <w:fldChar w:fldCharType="end"/>
      </w:r>
    </w:p>
    <w:p w14:paraId="3BB2A7ED">
      <w:pPr>
        <w:pStyle w:val="15"/>
        <w:tabs>
          <w:tab w:val="right" w:leader="dot" w:pos="9070"/>
          <w:tab w:val="clear" w:pos="900"/>
          <w:tab w:val="clear" w:pos="1260"/>
          <w:tab w:val="clear" w:pos="9360"/>
        </w:tabs>
      </w:pPr>
      <w:r>
        <w:rPr>
          <w:szCs w:val="28"/>
        </w:rPr>
        <w:fldChar w:fldCharType="begin"/>
      </w:r>
      <w:r>
        <w:rPr>
          <w:szCs w:val="28"/>
        </w:rPr>
        <w:instrText xml:space="preserve"> HYPERLINK \l _Toc18238 </w:instrText>
      </w:r>
      <w:r>
        <w:rPr>
          <w:szCs w:val="28"/>
        </w:rPr>
        <w:fldChar w:fldCharType="separate"/>
      </w:r>
      <w:r>
        <w:rPr>
          <w:rFonts w:hint="eastAsia" w:eastAsia="宋体"/>
          <w:szCs w:val="24"/>
          <w:lang w:val="en-GB"/>
        </w:rPr>
        <w:t xml:space="preserve">5.3.1 </w:t>
      </w:r>
      <w:r>
        <w:t>普通</w:t>
      </w:r>
      <w:r>
        <w:rPr>
          <w:rFonts w:hint="eastAsia"/>
        </w:rPr>
        <w:t>窗</w:t>
      </w:r>
      <w:r>
        <w:tab/>
      </w:r>
      <w:r>
        <w:fldChar w:fldCharType="begin"/>
      </w:r>
      <w:r>
        <w:instrText xml:space="preserve"> PAGEREF _Toc18238 \h </w:instrText>
      </w:r>
      <w:r>
        <w:fldChar w:fldCharType="separate"/>
      </w:r>
      <w:r>
        <w:t>7</w:t>
      </w:r>
      <w:r>
        <w:fldChar w:fldCharType="end"/>
      </w:r>
      <w:r>
        <w:rPr>
          <w:szCs w:val="28"/>
        </w:rPr>
        <w:fldChar w:fldCharType="end"/>
      </w:r>
    </w:p>
    <w:p w14:paraId="55A79D37">
      <w:pPr>
        <w:pStyle w:val="15"/>
        <w:tabs>
          <w:tab w:val="right" w:leader="dot" w:pos="9070"/>
          <w:tab w:val="clear" w:pos="900"/>
          <w:tab w:val="clear" w:pos="1260"/>
          <w:tab w:val="clear" w:pos="9360"/>
        </w:tabs>
      </w:pPr>
      <w:r>
        <w:rPr>
          <w:szCs w:val="28"/>
        </w:rPr>
        <w:fldChar w:fldCharType="begin"/>
      </w:r>
      <w:r>
        <w:rPr>
          <w:szCs w:val="28"/>
        </w:rPr>
        <w:instrText xml:space="preserve"> HYPERLINK \l _Toc30462 </w:instrText>
      </w:r>
      <w:r>
        <w:rPr>
          <w:szCs w:val="28"/>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_Toc30462 \h </w:instrText>
      </w:r>
      <w:r>
        <w:fldChar w:fldCharType="separate"/>
      </w:r>
      <w:r>
        <w:t>7</w:t>
      </w:r>
      <w:r>
        <w:fldChar w:fldCharType="end"/>
      </w:r>
      <w:r>
        <w:rPr>
          <w:szCs w:val="28"/>
        </w:rPr>
        <w:fldChar w:fldCharType="end"/>
      </w:r>
    </w:p>
    <w:p w14:paraId="766A3177">
      <w:pPr>
        <w:pStyle w:val="19"/>
        <w:tabs>
          <w:tab w:val="right" w:leader="dot" w:pos="9070"/>
          <w:tab w:val="clear" w:pos="180"/>
          <w:tab w:val="clear" w:pos="420"/>
          <w:tab w:val="clear" w:pos="9360"/>
        </w:tabs>
      </w:pPr>
      <w:r>
        <w:rPr>
          <w:szCs w:val="28"/>
        </w:rPr>
        <w:fldChar w:fldCharType="begin"/>
      </w:r>
      <w:r>
        <w:rPr>
          <w:szCs w:val="28"/>
        </w:rPr>
        <w:instrText xml:space="preserve"> HYPERLINK \l _Toc21865 </w:instrText>
      </w:r>
      <w:r>
        <w:rPr>
          <w:szCs w:val="28"/>
        </w:rPr>
        <w:fldChar w:fldCharType="separate"/>
      </w:r>
      <w:r>
        <w:rPr>
          <w:rFonts w:hint="eastAsia" w:ascii="微软雅黑" w:hAnsi="微软雅黑"/>
        </w:rPr>
        <w:t>6. 动态采光达标统计</w:t>
      </w:r>
      <w:r>
        <w:tab/>
      </w:r>
      <w:r>
        <w:fldChar w:fldCharType="begin"/>
      </w:r>
      <w:r>
        <w:instrText xml:space="preserve"> PAGEREF _Toc21865 \h </w:instrText>
      </w:r>
      <w:r>
        <w:fldChar w:fldCharType="separate"/>
      </w:r>
      <w:r>
        <w:t>7</w:t>
      </w:r>
      <w:r>
        <w:fldChar w:fldCharType="end"/>
      </w:r>
      <w:r>
        <w:rPr>
          <w:szCs w:val="28"/>
        </w:rPr>
        <w:fldChar w:fldCharType="end"/>
      </w:r>
    </w:p>
    <w:p w14:paraId="56C4CDDC">
      <w:pPr>
        <w:pStyle w:val="19"/>
        <w:tabs>
          <w:tab w:val="right" w:leader="dot" w:pos="9070"/>
          <w:tab w:val="clear" w:pos="180"/>
          <w:tab w:val="clear" w:pos="420"/>
          <w:tab w:val="clear" w:pos="9360"/>
        </w:tabs>
      </w:pPr>
      <w:r>
        <w:rPr>
          <w:szCs w:val="28"/>
        </w:rPr>
        <w:fldChar w:fldCharType="begin"/>
      </w:r>
      <w:r>
        <w:rPr>
          <w:szCs w:val="28"/>
        </w:rPr>
        <w:instrText xml:space="preserve"> HYPERLINK \l _Toc21845 </w:instrText>
      </w:r>
      <w:r>
        <w:rPr>
          <w:szCs w:val="28"/>
        </w:rPr>
        <w:fldChar w:fldCharType="separate"/>
      </w:r>
      <w:r>
        <w:rPr>
          <w:rFonts w:hint="eastAsia" w:ascii="微软雅黑" w:hAnsi="微软雅黑"/>
        </w:rPr>
        <w:t>7. 动态采光统计图</w:t>
      </w:r>
      <w:r>
        <w:tab/>
      </w:r>
      <w:r>
        <w:fldChar w:fldCharType="begin"/>
      </w:r>
      <w:r>
        <w:instrText xml:space="preserve"> PAGEREF _Toc21845 \h </w:instrText>
      </w:r>
      <w:r>
        <w:fldChar w:fldCharType="separate"/>
      </w:r>
      <w:r>
        <w:t>8</w:t>
      </w:r>
      <w:r>
        <w:fldChar w:fldCharType="end"/>
      </w:r>
      <w:r>
        <w:rPr>
          <w:szCs w:val="28"/>
        </w:rPr>
        <w:fldChar w:fldCharType="end"/>
      </w:r>
    </w:p>
    <w:p w14:paraId="676B18CB">
      <w:pPr>
        <w:pStyle w:val="19"/>
        <w:tabs>
          <w:tab w:val="right" w:leader="dot" w:pos="9070"/>
          <w:tab w:val="clear" w:pos="180"/>
          <w:tab w:val="clear" w:pos="420"/>
          <w:tab w:val="clear" w:pos="9360"/>
        </w:tabs>
      </w:pPr>
      <w:r>
        <w:rPr>
          <w:szCs w:val="28"/>
        </w:rPr>
        <w:fldChar w:fldCharType="begin"/>
      </w:r>
      <w:r>
        <w:rPr>
          <w:szCs w:val="28"/>
        </w:rPr>
        <w:instrText xml:space="preserve"> HYPERLINK \l _Toc6007 </w:instrText>
      </w:r>
      <w:r>
        <w:rPr>
          <w:szCs w:val="28"/>
        </w:rPr>
        <w:fldChar w:fldCharType="separate"/>
      </w:r>
      <w:r>
        <w:rPr>
          <w:rFonts w:hint="eastAsia" w:ascii="微软雅黑" w:hAnsi="微软雅黑"/>
        </w:rPr>
        <w:t>8. 动态采光彩图</w:t>
      </w:r>
      <w:r>
        <w:tab/>
      </w:r>
      <w:r>
        <w:fldChar w:fldCharType="begin"/>
      </w:r>
      <w:r>
        <w:instrText xml:space="preserve"> PAGEREF _Toc6007 \h </w:instrText>
      </w:r>
      <w:r>
        <w:fldChar w:fldCharType="separate"/>
      </w:r>
      <w:r>
        <w:t>9</w:t>
      </w:r>
      <w:r>
        <w:fldChar w:fldCharType="end"/>
      </w:r>
      <w:r>
        <w:rPr>
          <w:szCs w:val="28"/>
        </w:rPr>
        <w:fldChar w:fldCharType="end"/>
      </w:r>
    </w:p>
    <w:p w14:paraId="4688F24E">
      <w:pPr>
        <w:pStyle w:val="19"/>
        <w:tabs>
          <w:tab w:val="right" w:leader="dot" w:pos="9070"/>
          <w:tab w:val="clear" w:pos="180"/>
          <w:tab w:val="clear" w:pos="420"/>
          <w:tab w:val="clear" w:pos="9360"/>
        </w:tabs>
      </w:pPr>
      <w:r>
        <w:rPr>
          <w:szCs w:val="28"/>
        </w:rPr>
        <w:fldChar w:fldCharType="begin"/>
      </w:r>
      <w:r>
        <w:rPr>
          <w:szCs w:val="28"/>
        </w:rPr>
        <w:instrText xml:space="preserve"> HYPERLINK \l _Toc4369 </w:instrText>
      </w:r>
      <w:r>
        <w:rPr>
          <w:szCs w:val="28"/>
        </w:rPr>
        <w:fldChar w:fldCharType="separate"/>
      </w:r>
      <w:r>
        <w:rPr>
          <w:rFonts w:hint="eastAsia" w:ascii="微软雅黑" w:hAnsi="微软雅黑"/>
        </w:rPr>
        <w:t>9. 评价结论</w:t>
      </w:r>
      <w:r>
        <w:tab/>
      </w:r>
      <w:r>
        <w:fldChar w:fldCharType="begin"/>
      </w:r>
      <w:r>
        <w:instrText xml:space="preserve"> PAGEREF _Toc4369 \h </w:instrText>
      </w:r>
      <w:r>
        <w:fldChar w:fldCharType="separate"/>
      </w:r>
      <w:r>
        <w:t>12</w:t>
      </w:r>
      <w:r>
        <w:fldChar w:fldCharType="end"/>
      </w:r>
      <w:r>
        <w:rPr>
          <w:szCs w:val="28"/>
        </w:rPr>
        <w:fldChar w:fldCharType="end"/>
      </w:r>
    </w:p>
    <w:p w14:paraId="6006BF23">
      <w:pPr>
        <w:ind w:firstLine="560"/>
        <w:rPr>
          <w:rFonts w:hint="eastAsia"/>
          <w:sz w:val="28"/>
          <w:szCs w:val="28"/>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418" w:bottom="1440" w:left="1418" w:header="851" w:footer="992" w:gutter="0"/>
          <w:cols w:space="425" w:num="1"/>
          <w:titlePg/>
          <w:docGrid w:type="lines" w:linePitch="312" w:charSpace="0"/>
        </w:sectPr>
      </w:pPr>
      <w:r>
        <w:rPr>
          <w:szCs w:val="28"/>
        </w:rPr>
        <w:fldChar w:fldCharType="end"/>
      </w:r>
      <w:bookmarkEnd w:id="12"/>
    </w:p>
    <w:p w14:paraId="2983314B">
      <w:pPr>
        <w:pStyle w:val="2"/>
        <w:rPr>
          <w:rFonts w:hint="eastAsia" w:ascii="微软雅黑" w:hAnsi="微软雅黑"/>
        </w:rPr>
      </w:pPr>
      <w:bookmarkStart w:id="13" w:name="_Toc512608176"/>
      <w:bookmarkStart w:id="14" w:name="_Toc20312513"/>
      <w:bookmarkStart w:id="15" w:name="_Toc19350"/>
      <w:r>
        <w:rPr>
          <w:rFonts w:hint="eastAsia" w:ascii="微软雅黑" w:hAnsi="微软雅黑"/>
        </w:rPr>
        <w:t>建筑概况</w:t>
      </w:r>
      <w:bookmarkEnd w:id="13"/>
      <w:bookmarkEnd w:id="14"/>
      <w:bookmarkEnd w:id="15"/>
    </w:p>
    <w:tbl>
      <w:tblPr>
        <w:tblStyle w:val="23"/>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1E5F6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2906C2AB">
            <w:pPr>
              <w:pStyle w:val="3"/>
              <w:rPr>
                <w:rFonts w:hint="eastAsia"/>
                <w:lang w:val="en-US"/>
              </w:rPr>
            </w:pPr>
            <w:r>
              <w:rPr>
                <w:lang w:val="en-US"/>
              </w:rPr>
              <w:t>项目所在地</w:t>
            </w:r>
          </w:p>
        </w:tc>
        <w:tc>
          <w:tcPr>
            <w:tcW w:w="6447" w:type="dxa"/>
            <w:gridSpan w:val="3"/>
          </w:tcPr>
          <w:p w14:paraId="0366EB59">
            <w:pPr>
              <w:ind w:firstLine="420"/>
              <w:rPr>
                <w:rFonts w:hint="eastAsia"/>
                <w:lang w:val="en-US"/>
              </w:rPr>
            </w:pPr>
            <w:bookmarkStart w:id="16" w:name="项目地点"/>
            <w:r>
              <w:t>泉州</w:t>
            </w:r>
            <w:bookmarkEnd w:id="16"/>
          </w:p>
        </w:tc>
      </w:tr>
      <w:tr w14:paraId="23946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CAF2598">
            <w:pPr>
              <w:pStyle w:val="3"/>
              <w:rPr>
                <w:rFonts w:hint="eastAsia"/>
                <w:lang w:val="en-US"/>
              </w:rPr>
            </w:pPr>
            <w:r>
              <w:rPr>
                <w:rFonts w:hint="eastAsia"/>
                <w:lang w:val="en-US"/>
              </w:rPr>
              <w:t>光气候分区</w:t>
            </w:r>
          </w:p>
        </w:tc>
        <w:tc>
          <w:tcPr>
            <w:tcW w:w="2624" w:type="dxa"/>
          </w:tcPr>
          <w:p w14:paraId="76422815">
            <w:pPr>
              <w:pStyle w:val="3"/>
              <w:rPr>
                <w:rFonts w:hint="eastAsia"/>
                <w:lang w:val="en-US"/>
              </w:rPr>
            </w:pPr>
            <w:bookmarkStart w:id="17" w:name="光气候分区"/>
            <w:r>
              <w:t>IV</w:t>
            </w:r>
            <w:bookmarkEnd w:id="17"/>
          </w:p>
        </w:tc>
        <w:tc>
          <w:tcPr>
            <w:tcW w:w="1757" w:type="dxa"/>
            <w:shd w:val="clear" w:color="auto" w:fill="E0E0E0"/>
          </w:tcPr>
          <w:p w14:paraId="6308B519">
            <w:pPr>
              <w:pStyle w:val="3"/>
              <w:rPr>
                <w:rFonts w:hint="eastAsia"/>
                <w:lang w:val="en-US"/>
              </w:rPr>
            </w:pPr>
            <w:r>
              <w:rPr>
                <w:rFonts w:hint="eastAsia"/>
                <w:lang w:val="en-US"/>
              </w:rPr>
              <w:t>光气候系数K</w:t>
            </w:r>
          </w:p>
        </w:tc>
        <w:tc>
          <w:tcPr>
            <w:tcW w:w="2066" w:type="dxa"/>
          </w:tcPr>
          <w:p w14:paraId="60186981">
            <w:pPr>
              <w:pStyle w:val="3"/>
              <w:rPr>
                <w:rFonts w:hint="eastAsia"/>
                <w:lang w:val="en-US"/>
              </w:rPr>
            </w:pPr>
            <w:bookmarkStart w:id="18" w:name="光气候系数K"/>
            <w:r>
              <w:t>1.10</w:t>
            </w:r>
            <w:bookmarkEnd w:id="18"/>
          </w:p>
        </w:tc>
      </w:tr>
      <w:tr w14:paraId="1692A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FA06C6F">
            <w:pPr>
              <w:pStyle w:val="3"/>
              <w:rPr>
                <w:rFonts w:hint="eastAsia"/>
                <w:lang w:val="en-US"/>
              </w:rPr>
            </w:pPr>
            <w:r>
              <w:rPr>
                <w:rFonts w:hint="eastAsia"/>
                <w:lang w:val="en-US"/>
              </w:rPr>
              <w:t>建筑面积</w:t>
            </w:r>
          </w:p>
        </w:tc>
        <w:tc>
          <w:tcPr>
            <w:tcW w:w="6447" w:type="dxa"/>
            <w:gridSpan w:val="3"/>
          </w:tcPr>
          <w:p w14:paraId="186C8763">
            <w:pPr>
              <w:pStyle w:val="3"/>
              <w:rPr>
                <w:rFonts w:hint="eastAsia"/>
                <w:lang w:val="en-US"/>
              </w:rPr>
            </w:pPr>
            <w:r>
              <w:rPr>
                <w:rFonts w:hint="eastAsia"/>
                <w:lang w:val="en-US"/>
              </w:rPr>
              <w:t xml:space="preserve">地上  </w:t>
            </w:r>
            <w:bookmarkStart w:id="19" w:name="地上建筑面积"/>
            <w:r>
              <w:t>3140.79</w:t>
            </w:r>
            <w:bookmarkEnd w:id="19"/>
            <w:r>
              <w:rPr>
                <w:rFonts w:hint="eastAsia"/>
              </w:rPr>
              <w:t>㎡</w:t>
            </w:r>
            <w:r>
              <w:rPr>
                <w:rFonts w:hint="eastAsia"/>
                <w:lang w:val="en-US"/>
              </w:rPr>
              <w:t xml:space="preserve">    地下  </w:t>
            </w:r>
            <w:bookmarkStart w:id="20" w:name="地下建筑面积"/>
            <w:r>
              <w:t>0.00</w:t>
            </w:r>
            <w:bookmarkEnd w:id="20"/>
            <w:r>
              <w:rPr>
                <w:rFonts w:hint="eastAsia"/>
              </w:rPr>
              <w:t>㎡</w:t>
            </w:r>
          </w:p>
        </w:tc>
      </w:tr>
      <w:tr w14:paraId="7E6BE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136EE108">
            <w:pPr>
              <w:pStyle w:val="3"/>
              <w:rPr>
                <w:rFonts w:hint="eastAsia"/>
                <w:lang w:val="en-US"/>
              </w:rPr>
            </w:pPr>
            <w:r>
              <w:rPr>
                <w:rFonts w:hint="eastAsia"/>
                <w:lang w:val="en-US"/>
              </w:rPr>
              <w:t>建筑层数</w:t>
            </w:r>
          </w:p>
        </w:tc>
        <w:tc>
          <w:tcPr>
            <w:tcW w:w="6447" w:type="dxa"/>
            <w:gridSpan w:val="3"/>
          </w:tcPr>
          <w:p w14:paraId="1FBBB06C">
            <w:pPr>
              <w:pStyle w:val="3"/>
              <w:rPr>
                <w:rFonts w:hint="eastAsia"/>
                <w:lang w:val="en-US"/>
              </w:rPr>
            </w:pPr>
            <w:r>
              <w:rPr>
                <w:rFonts w:hint="eastAsia"/>
                <w:lang w:val="en-US"/>
              </w:rPr>
              <w:t xml:space="preserve">地上  </w:t>
            </w:r>
            <w:bookmarkStart w:id="21" w:name="地上建筑层数"/>
            <w:r>
              <w:t>4</w:t>
            </w:r>
            <w:bookmarkEnd w:id="21"/>
            <w:r>
              <w:rPr>
                <w:rFonts w:hint="eastAsia"/>
                <w:lang w:val="en-US"/>
              </w:rPr>
              <w:t xml:space="preserve">          地下 </w:t>
            </w:r>
            <w:bookmarkStart w:id="22" w:name="地下建筑层数"/>
            <w:r>
              <w:t>0</w:t>
            </w:r>
            <w:bookmarkEnd w:id="22"/>
          </w:p>
        </w:tc>
      </w:tr>
      <w:tr w14:paraId="55D66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BC127CC">
            <w:pPr>
              <w:pStyle w:val="3"/>
              <w:rPr>
                <w:rFonts w:hint="eastAsia"/>
                <w:lang w:val="en-US"/>
              </w:rPr>
            </w:pPr>
            <w:r>
              <w:rPr>
                <w:rFonts w:hint="eastAsia"/>
                <w:lang w:val="en-US"/>
              </w:rPr>
              <w:t>建筑高度</w:t>
            </w:r>
          </w:p>
        </w:tc>
        <w:tc>
          <w:tcPr>
            <w:tcW w:w="6447" w:type="dxa"/>
            <w:gridSpan w:val="3"/>
          </w:tcPr>
          <w:p w14:paraId="0C207FE0">
            <w:pPr>
              <w:pStyle w:val="3"/>
              <w:rPr>
                <w:rFonts w:hint="eastAsia"/>
                <w:lang w:val="en-US"/>
              </w:rPr>
            </w:pPr>
            <w:r>
              <w:rPr>
                <w:rFonts w:hint="eastAsia"/>
                <w:lang w:val="en-US"/>
              </w:rPr>
              <w:t xml:space="preserve">地上 </w:t>
            </w:r>
            <w:bookmarkStart w:id="23" w:name="地上建筑高度"/>
            <w:r>
              <w:t>73.18</w:t>
            </w:r>
            <w:bookmarkEnd w:id="23"/>
            <w:r>
              <w:rPr>
                <w:rFonts w:hint="eastAsia"/>
                <w:lang w:val="en-US"/>
              </w:rPr>
              <w:t xml:space="preserve"> m     地下  </w:t>
            </w:r>
            <w:bookmarkStart w:id="24" w:name="地下建筑高度"/>
            <w:r>
              <w:t>0.00</w:t>
            </w:r>
            <w:bookmarkEnd w:id="24"/>
            <w:r>
              <w:rPr>
                <w:rFonts w:hint="eastAsia"/>
                <w:lang w:val="en-US"/>
              </w:rPr>
              <w:t>m</w:t>
            </w:r>
          </w:p>
        </w:tc>
      </w:tr>
      <w:tr w14:paraId="4A083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1C721258">
            <w:pPr>
              <w:pStyle w:val="3"/>
              <w:rPr>
                <w:rFonts w:hint="eastAsia"/>
                <w:lang w:val="en-US"/>
              </w:rPr>
            </w:pPr>
            <w:r>
              <w:rPr>
                <w:rFonts w:hint="eastAsia"/>
              </w:rPr>
              <w:t>备注</w:t>
            </w:r>
          </w:p>
        </w:tc>
        <w:tc>
          <w:tcPr>
            <w:tcW w:w="6447" w:type="dxa"/>
            <w:gridSpan w:val="3"/>
          </w:tcPr>
          <w:p w14:paraId="5F3687E5">
            <w:pPr>
              <w:pStyle w:val="3"/>
              <w:rPr>
                <w:rFonts w:hint="eastAsia"/>
                <w:lang w:val="en-US"/>
              </w:rPr>
            </w:pPr>
            <w:bookmarkStart w:id="25" w:name="备注"/>
            <w:bookmarkEnd w:id="25"/>
          </w:p>
        </w:tc>
      </w:tr>
    </w:tbl>
    <w:p w14:paraId="4CC55385">
      <w:pPr>
        <w:jc w:val="center"/>
        <w:rPr>
          <w:rFonts w:hint="eastAsia"/>
          <w:lang w:val="en-US"/>
        </w:rPr>
      </w:pPr>
    </w:p>
    <w:p w14:paraId="7CD58005">
      <w:pPr>
        <w:pStyle w:val="2"/>
        <w:rPr>
          <w:rFonts w:hint="eastAsia" w:ascii="微软雅黑" w:hAnsi="微软雅黑"/>
        </w:rPr>
      </w:pPr>
      <w:bookmarkStart w:id="26" w:name="_Toc20312514"/>
      <w:bookmarkStart w:id="27" w:name="_Toc512608178"/>
      <w:bookmarkStart w:id="28" w:name="_Toc13176"/>
      <w:r>
        <w:rPr>
          <w:rFonts w:hint="eastAsia" w:ascii="微软雅黑" w:hAnsi="微软雅黑"/>
        </w:rPr>
        <w:t>计算</w:t>
      </w:r>
      <w:r>
        <w:rPr>
          <w:rFonts w:ascii="微软雅黑" w:hAnsi="微软雅黑"/>
        </w:rPr>
        <w:t>目的</w:t>
      </w:r>
      <w:bookmarkEnd w:id="26"/>
      <w:bookmarkEnd w:id="27"/>
      <w:bookmarkEnd w:id="28"/>
    </w:p>
    <w:p w14:paraId="259D4185">
      <w:pPr>
        <w:pStyle w:val="3"/>
        <w:ind w:firstLine="420" w:firstLineChars="200"/>
        <w:rPr>
          <w:rFonts w:hint="eastAsia"/>
          <w:lang w:val="en-US"/>
        </w:rPr>
      </w:pPr>
      <w:r>
        <w:rPr>
          <w:rFonts w:hint="eastAsia"/>
          <w:lang w:val="en-US"/>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1CE74EFB">
      <w:pPr>
        <w:pStyle w:val="2"/>
        <w:rPr>
          <w:rFonts w:hint="eastAsia" w:ascii="微软雅黑" w:hAnsi="微软雅黑"/>
        </w:rPr>
      </w:pPr>
      <w:bookmarkStart w:id="29" w:name="_Toc20312515"/>
      <w:bookmarkStart w:id="30" w:name="_Toc512608177"/>
      <w:bookmarkStart w:id="31" w:name="_Toc13998"/>
      <w:r>
        <w:rPr>
          <w:rFonts w:hint="eastAsia" w:ascii="微软雅黑" w:hAnsi="微软雅黑"/>
        </w:rPr>
        <w:t>分析依据</w:t>
      </w:r>
      <w:bookmarkEnd w:id="29"/>
      <w:bookmarkEnd w:id="30"/>
      <w:bookmarkEnd w:id="31"/>
    </w:p>
    <w:p w14:paraId="70CDA77B">
      <w:pPr>
        <w:pStyle w:val="4"/>
        <w:rPr>
          <w:rFonts w:hint="eastAsia" w:ascii="微软雅黑" w:hAnsi="微软雅黑"/>
        </w:rPr>
      </w:pPr>
      <w:bookmarkStart w:id="32" w:name="_Toc20312516"/>
      <w:bookmarkStart w:id="33" w:name="_Toc5032"/>
      <w:r>
        <w:rPr>
          <w:rFonts w:hint="eastAsia" w:ascii="微软雅黑" w:hAnsi="微软雅黑"/>
        </w:rPr>
        <w:t>标准依据</w:t>
      </w:r>
      <w:bookmarkEnd w:id="32"/>
      <w:bookmarkEnd w:id="33"/>
    </w:p>
    <w:p w14:paraId="7A4AE511">
      <w:pPr>
        <w:pStyle w:val="3"/>
        <w:numPr>
          <w:ilvl w:val="0"/>
          <w:numId w:val="2"/>
        </w:numPr>
        <w:rPr>
          <w:rFonts w:hint="eastAsia"/>
          <w:lang w:val="en-US"/>
        </w:rPr>
      </w:pPr>
      <w:bookmarkStart w:id="34" w:name="标准名称"/>
      <w:r>
        <w:rPr>
          <w:lang w:val="en-US"/>
        </w:rPr>
        <w:t>《绿色建筑评价标准》GB/T 50378-2019</w:t>
      </w:r>
      <w:bookmarkEnd w:id="34"/>
    </w:p>
    <w:p w14:paraId="2642B36A">
      <w:pPr>
        <w:pStyle w:val="3"/>
        <w:numPr>
          <w:ilvl w:val="0"/>
          <w:numId w:val="2"/>
        </w:numPr>
        <w:rPr>
          <w:rFonts w:hint="eastAsia"/>
          <w:lang w:val="en-US"/>
        </w:rPr>
      </w:pPr>
      <w:r>
        <w:rPr>
          <w:lang w:val="en-US"/>
        </w:rPr>
        <w:t>《建筑采光设计标准》GB 50033-2013</w:t>
      </w:r>
    </w:p>
    <w:p w14:paraId="67E9B542">
      <w:pPr>
        <w:pStyle w:val="3"/>
        <w:numPr>
          <w:ilvl w:val="0"/>
          <w:numId w:val="2"/>
        </w:numPr>
        <w:rPr>
          <w:rFonts w:hint="eastAsia"/>
          <w:sz w:val="24"/>
          <w:lang w:val="en-US"/>
        </w:rPr>
      </w:pPr>
      <w:r>
        <w:rPr>
          <w:rFonts w:hint="eastAsia"/>
          <w:sz w:val="24"/>
          <w:lang w:val="en-US"/>
        </w:rPr>
        <w:t>《</w:t>
      </w:r>
      <w:r>
        <w:rPr>
          <w:rFonts w:hint="eastAsia"/>
          <w:lang w:val="en-US"/>
        </w:rPr>
        <w:t>绿色建筑评价标准技术细则2019》</w:t>
      </w:r>
    </w:p>
    <w:p w14:paraId="0BDB9752">
      <w:pPr>
        <w:pStyle w:val="3"/>
        <w:numPr>
          <w:ilvl w:val="0"/>
          <w:numId w:val="2"/>
        </w:numPr>
        <w:rPr>
          <w:rFonts w:hint="eastAsia"/>
          <w:lang w:val="en-US"/>
        </w:rPr>
      </w:pPr>
      <w:r>
        <w:rPr>
          <w:rFonts w:hint="eastAsia"/>
          <w:lang w:val="en-US"/>
        </w:rPr>
        <w:t>《</w:t>
      </w:r>
      <w:r>
        <w:rPr>
          <w:lang w:val="en-US"/>
        </w:rPr>
        <w:t>民用建筑绿色性能计算标准</w:t>
      </w:r>
      <w:r>
        <w:rPr>
          <w:rFonts w:hint="eastAsia"/>
          <w:lang w:val="en-US"/>
        </w:rPr>
        <w:t>》</w:t>
      </w:r>
      <w:r>
        <w:rPr>
          <w:lang w:val="en-US"/>
        </w:rPr>
        <w:t>JGJT_449-2018</w:t>
      </w:r>
    </w:p>
    <w:p w14:paraId="0248DF50">
      <w:pPr>
        <w:pStyle w:val="3"/>
        <w:numPr>
          <w:ilvl w:val="0"/>
          <w:numId w:val="2"/>
        </w:numPr>
        <w:rPr>
          <w:rFonts w:hint="eastAsia"/>
          <w:lang w:val="en-US"/>
        </w:rPr>
      </w:pPr>
      <w:r>
        <w:rPr>
          <w:lang w:val="en-US"/>
        </w:rPr>
        <w:t>《采光测量方法》GB/T 5699-2017</w:t>
      </w:r>
    </w:p>
    <w:p w14:paraId="40ABAE38">
      <w:pPr>
        <w:kinsoku w:val="0"/>
        <w:spacing w:line="400" w:lineRule="atLeast"/>
        <w:ind w:left="1320"/>
        <w:jc w:val="both"/>
        <w:rPr>
          <w:rFonts w:hint="eastAsia"/>
          <w:szCs w:val="21"/>
          <w:lang w:val="en-US"/>
        </w:rPr>
      </w:pPr>
    </w:p>
    <w:p w14:paraId="52D2CCA4">
      <w:pPr>
        <w:pStyle w:val="4"/>
        <w:rPr>
          <w:rFonts w:hint="eastAsia" w:ascii="微软雅黑" w:hAnsi="微软雅黑"/>
        </w:rPr>
      </w:pPr>
      <w:bookmarkStart w:id="35" w:name="_Toc20312517"/>
      <w:bookmarkStart w:id="36" w:name="_Toc17238"/>
      <w:r>
        <w:rPr>
          <w:rFonts w:hint="eastAsia" w:ascii="微软雅黑" w:hAnsi="微软雅黑"/>
        </w:rPr>
        <w:t>标准要求</w:t>
      </w:r>
      <w:bookmarkEnd w:id="35"/>
      <w:bookmarkEnd w:id="36"/>
    </w:p>
    <w:p w14:paraId="7C01836B">
      <w:pPr>
        <w:kinsoku w:val="0"/>
        <w:spacing w:line="360" w:lineRule="auto"/>
        <w:ind w:firstLine="420"/>
        <w:rPr>
          <w:rFonts w:hint="eastAsia"/>
          <w:b/>
          <w:sz w:val="21"/>
          <w:szCs w:val="21"/>
          <w:lang w:val="en-US"/>
        </w:rPr>
      </w:pPr>
      <w:r>
        <w:rPr>
          <w:rFonts w:hint="eastAsia"/>
          <w:sz w:val="21"/>
          <w:szCs w:val="21"/>
          <w:lang w:val="en-US"/>
        </w:rPr>
        <w:t xml:space="preserve">■ </w:t>
      </w:r>
      <w:bookmarkStart w:id="37" w:name="标准名称1"/>
      <w:r>
        <w:rPr>
          <w:rFonts w:hint="eastAsia"/>
          <w:b/>
          <w:sz w:val="21"/>
          <w:szCs w:val="21"/>
          <w:lang w:val="en-US"/>
        </w:rPr>
        <w:t>《绿色建筑评价标准》GB/T 50378-2019</w:t>
      </w:r>
      <w:bookmarkEnd w:id="37"/>
      <w:r>
        <w:rPr>
          <w:b/>
          <w:sz w:val="21"/>
          <w:szCs w:val="21"/>
          <w:lang w:val="en-US"/>
        </w:rPr>
        <w:t xml:space="preserve">    </w:t>
      </w:r>
    </w:p>
    <w:p w14:paraId="611BA9E3">
      <w:pPr>
        <w:kinsoku w:val="0"/>
        <w:spacing w:line="360" w:lineRule="auto"/>
        <w:ind w:firstLine="420"/>
        <w:rPr>
          <w:rFonts w:hint="eastAsia"/>
          <w:b/>
          <w:sz w:val="21"/>
          <w:szCs w:val="21"/>
          <w:lang w:val="en-US"/>
        </w:rPr>
      </w:pPr>
      <w:r>
        <w:rPr>
          <w:rFonts w:hint="eastAsia"/>
          <w:b/>
          <w:sz w:val="21"/>
          <w:szCs w:val="21"/>
          <w:lang w:val="en-US"/>
        </w:rPr>
        <w:t xml:space="preserve"> 条文5.2.8</w:t>
      </w:r>
      <w:r>
        <w:rPr>
          <w:b/>
          <w:sz w:val="21"/>
          <w:szCs w:val="21"/>
          <w:lang w:val="en-US"/>
        </w:rPr>
        <w:t>对建筑</w:t>
      </w:r>
      <w:r>
        <w:rPr>
          <w:rFonts w:hint="eastAsia"/>
          <w:b/>
          <w:sz w:val="21"/>
          <w:szCs w:val="21"/>
          <w:lang w:val="en-US"/>
        </w:rPr>
        <w:t>光</w:t>
      </w:r>
      <w:r>
        <w:rPr>
          <w:b/>
          <w:sz w:val="21"/>
          <w:szCs w:val="21"/>
          <w:lang w:val="en-US"/>
        </w:rPr>
        <w:t>环境</w:t>
      </w:r>
      <w:r>
        <w:rPr>
          <w:rFonts w:hint="eastAsia"/>
          <w:b/>
          <w:sz w:val="21"/>
          <w:szCs w:val="21"/>
          <w:lang w:val="en-US"/>
        </w:rPr>
        <w:t>提出</w:t>
      </w:r>
      <w:r>
        <w:rPr>
          <w:b/>
          <w:sz w:val="21"/>
          <w:szCs w:val="21"/>
          <w:lang w:val="en-US"/>
        </w:rPr>
        <w:t>明确要求：</w:t>
      </w:r>
    </w:p>
    <w:p w14:paraId="215819FC">
      <w:pPr>
        <w:snapToGrid w:val="0"/>
        <w:spacing w:line="240" w:lineRule="auto"/>
        <w:ind w:firstLine="420"/>
        <w:jc w:val="left"/>
        <w:rPr>
          <w:rFonts w:ascii="微软雅黑" w:hAnsi="微软雅黑" w:eastAsia="微软雅黑" w:cs="微软雅黑"/>
        </w:rPr>
      </w:pPr>
      <w:r>
        <w:rPr>
          <w:rFonts w:ascii="微软雅黑" w:hAnsi="微软雅黑" w:eastAsia="微软雅黑" w:cs="微软雅黑"/>
        </w:rPr>
        <w:t>住宅建筑室内主要功能空间至少60%面积比例区域，其采光照度值不低于300lx的小时数平均不少于</w:t>
      </w:r>
      <w:bookmarkStart w:id="38" w:name="居建动态采光评价要求"/>
      <w:r>
        <w:rPr>
          <w:rFonts w:ascii="微软雅黑" w:hAnsi="微软雅黑" w:eastAsia="微软雅黑" w:cs="微软雅黑"/>
        </w:rPr>
        <w:t>8</w:t>
      </w:r>
      <w:bookmarkEnd w:id="38"/>
      <w:r>
        <w:rPr>
          <w:rFonts w:ascii="微软雅黑" w:hAnsi="微软雅黑" w:eastAsia="微软雅黑" w:cs="微软雅黑"/>
        </w:rPr>
        <w:t>h/d，得</w:t>
      </w:r>
      <w:bookmarkStart w:id="39" w:name="居建动态采光评价分值"/>
      <w:r>
        <w:rPr>
          <w:rFonts w:ascii="微软雅黑" w:hAnsi="微软雅黑" w:eastAsia="微软雅黑" w:cs="微软雅黑"/>
        </w:rPr>
        <w:t>9</w:t>
      </w:r>
      <w:bookmarkEnd w:id="39"/>
      <w:r>
        <w:rPr>
          <w:rFonts w:ascii="微软雅黑" w:hAnsi="微软雅黑" w:eastAsia="微软雅黑" w:cs="微软雅黑"/>
        </w:rPr>
        <w:t>分。</w:t>
      </w:r>
    </w:p>
    <w:p w14:paraId="058D5142">
      <w:pPr>
        <w:pStyle w:val="40"/>
        <w:ind w:left="420" w:firstLine="0"/>
        <w:rPr>
          <w:rFonts w:hint="eastAsia"/>
          <w:sz w:val="21"/>
          <w:szCs w:val="21"/>
          <w:lang w:val="en-US"/>
        </w:rPr>
      </w:pPr>
    </w:p>
    <w:p w14:paraId="73C0267F">
      <w:pPr>
        <w:pStyle w:val="40"/>
        <w:ind w:left="420" w:firstLine="0"/>
        <w:rPr>
          <w:rFonts w:hint="eastAsia"/>
          <w:sz w:val="32"/>
          <w:lang w:val="en-US"/>
        </w:rPr>
      </w:pPr>
      <w:r>
        <w:rPr>
          <w:rFonts w:hint="eastAsia"/>
          <w:sz w:val="21"/>
          <w:szCs w:val="21"/>
          <w:lang w:val="en-US"/>
        </w:rPr>
        <w:t>■</w:t>
      </w:r>
      <w:r>
        <w:rPr>
          <w:rFonts w:hint="eastAsia"/>
          <w:b/>
          <w:sz w:val="21"/>
          <w:szCs w:val="21"/>
          <w:lang w:val="en-US"/>
        </w:rPr>
        <w:t>《绿色建筑评价标准技术细则2019》</w:t>
      </w:r>
    </w:p>
    <w:p w14:paraId="2D91CFF9">
      <w:pPr>
        <w:ind w:firstLine="420"/>
        <w:rPr>
          <w:rFonts w:hint="eastAsia"/>
          <w:sz w:val="21"/>
        </w:rPr>
      </w:pPr>
      <w:bookmarkStart w:id="40" w:name="_Hlk154569719"/>
      <w:r>
        <w:rPr>
          <w:rFonts w:hint="eastAsia"/>
          <w:sz w:val="21"/>
        </w:rPr>
        <w:t>住宅建筑动态采光要求：</w:t>
      </w:r>
      <w:bookmarkEnd w:id="40"/>
    </w:p>
    <w:p w14:paraId="00E32726">
      <w:pPr>
        <w:ind w:left="360" w:leftChars="200"/>
        <w:rPr>
          <w:rFonts w:hint="eastAsia"/>
          <w:sz w:val="21"/>
        </w:rPr>
      </w:pPr>
      <w:r>
        <w:rPr>
          <w:sz w:val="21"/>
        </w:rPr>
        <w:t>1.</w:t>
      </w:r>
      <w:r>
        <w:rPr>
          <w:rFonts w:hint="eastAsia"/>
          <w:sz w:val="21"/>
        </w:rPr>
        <w:t>住宅建筑主要功能房间包括卧室、起居室（厅）等。宿舍建筑也按住宅建筑执行；</w:t>
      </w:r>
    </w:p>
    <w:p w14:paraId="4DE4446B">
      <w:pPr>
        <w:ind w:left="360" w:leftChars="200"/>
        <w:rPr>
          <w:rFonts w:hint="eastAsia"/>
          <w:sz w:val="21"/>
        </w:rPr>
      </w:pPr>
      <w:r>
        <w:rPr>
          <w:sz w:val="21"/>
        </w:rPr>
        <w:t>2.</w:t>
      </w:r>
      <w:r>
        <w:rPr>
          <w:rFonts w:hint="eastAsia"/>
          <w:sz w:val="21"/>
        </w:rPr>
        <w:t>满足要求的采光照度值为</w:t>
      </w:r>
      <w:r>
        <w:rPr>
          <w:rFonts w:hint="eastAsia"/>
          <w:b/>
          <w:sz w:val="21"/>
        </w:rPr>
        <w:t>平均值</w:t>
      </w:r>
      <w:r>
        <w:rPr>
          <w:rFonts w:hint="eastAsia"/>
          <w:sz w:val="21"/>
        </w:rPr>
        <w:t>，即照度平均值需超过300lx；</w:t>
      </w:r>
    </w:p>
    <w:p w14:paraId="4921A938">
      <w:pPr>
        <w:ind w:left="360" w:leftChars="200"/>
        <w:rPr>
          <w:rFonts w:hint="eastAsia"/>
          <w:sz w:val="21"/>
        </w:rPr>
      </w:pPr>
      <w:r>
        <w:rPr>
          <w:sz w:val="21"/>
        </w:rPr>
        <w:t>3.</w:t>
      </w:r>
      <w:r>
        <w:rPr>
          <w:rFonts w:hint="eastAsia"/>
          <w:sz w:val="21"/>
        </w:rPr>
        <w:t>住宅主要功能房间采用全年中建筑空间各位置</w:t>
      </w:r>
      <w:r>
        <w:rPr>
          <w:rFonts w:hint="eastAsia"/>
          <w:b/>
          <w:sz w:val="21"/>
        </w:rPr>
        <w:t>满足采光照度的时长</w:t>
      </w:r>
      <w:r>
        <w:rPr>
          <w:rFonts w:hint="eastAsia"/>
          <w:sz w:val="21"/>
        </w:rPr>
        <w:t>进行采光效果评价。</w:t>
      </w:r>
    </w:p>
    <w:p w14:paraId="21B36D46">
      <w:pPr>
        <w:ind w:firstLine="420"/>
        <w:rPr>
          <w:rFonts w:hint="eastAsia"/>
        </w:rPr>
      </w:pPr>
    </w:p>
    <w:p w14:paraId="3C036C06">
      <w:pPr>
        <w:ind w:left="360" w:leftChars="200"/>
        <w:rPr>
          <w:rFonts w:hint="eastAsia"/>
          <w:color w:val="FF0000"/>
          <w:sz w:val="21"/>
        </w:rPr>
      </w:pPr>
      <w:bookmarkStart w:id="41" w:name="_Hlk154569837"/>
      <w:r>
        <w:rPr>
          <w:rFonts w:hint="eastAsia"/>
          <w:b/>
          <w:sz w:val="21"/>
          <w:szCs w:val="21"/>
          <w:lang w:val="en-US"/>
        </w:rPr>
        <w:t>《绿色建筑评价标准》GB/T 50378条文5</w:t>
      </w:r>
      <w:r>
        <w:rPr>
          <w:b/>
          <w:sz w:val="21"/>
          <w:szCs w:val="21"/>
          <w:lang w:val="en-US"/>
        </w:rPr>
        <w:t>.2.8</w:t>
      </w:r>
      <w:r>
        <w:rPr>
          <w:rFonts w:hint="eastAsia"/>
          <w:b/>
          <w:sz w:val="21"/>
          <w:szCs w:val="21"/>
          <w:lang w:val="en-US"/>
        </w:rPr>
        <w:t>要求采光模拟应符合</w:t>
      </w:r>
      <w:r>
        <w:rPr>
          <w:b/>
          <w:sz w:val="21"/>
          <w:szCs w:val="21"/>
          <w:lang w:val="en-US"/>
        </w:rPr>
        <w:t>《民用建筑绿色性能计算标准》JGJ/T449</w:t>
      </w:r>
      <w:r>
        <w:rPr>
          <w:rFonts w:hint="eastAsia"/>
          <w:b/>
          <w:sz w:val="21"/>
          <w:szCs w:val="21"/>
          <w:lang w:val="en-US"/>
        </w:rPr>
        <w:t>第6</w:t>
      </w:r>
      <w:r>
        <w:rPr>
          <w:b/>
          <w:sz w:val="21"/>
          <w:szCs w:val="21"/>
          <w:lang w:val="en-US"/>
        </w:rPr>
        <w:t>.4.4</w:t>
      </w:r>
      <w:r>
        <w:rPr>
          <w:rFonts w:hint="eastAsia"/>
          <w:b/>
          <w:sz w:val="21"/>
          <w:szCs w:val="21"/>
          <w:lang w:val="en-US"/>
        </w:rPr>
        <w:t>条要求</w:t>
      </w:r>
      <w:r>
        <w:rPr>
          <w:b/>
          <w:sz w:val="21"/>
          <w:szCs w:val="21"/>
          <w:lang w:val="en-US"/>
        </w:rPr>
        <w:t xml:space="preserve">: </w:t>
      </w:r>
      <w:r>
        <w:rPr>
          <w:rFonts w:hint="eastAsia"/>
          <w:b/>
          <w:sz w:val="21"/>
          <w:szCs w:val="21"/>
          <w:lang w:val="en-US"/>
        </w:rPr>
        <w:t>地上建筑模型应包括周边建筑物。</w:t>
      </w:r>
      <w:bookmarkEnd w:id="41"/>
    </w:p>
    <w:p w14:paraId="696E0003">
      <w:pPr>
        <w:ind w:firstLine="420"/>
        <w:rPr>
          <w:rFonts w:hint="eastAsia"/>
        </w:rPr>
      </w:pPr>
    </w:p>
    <w:p w14:paraId="3F3F7E20">
      <w:pPr>
        <w:pStyle w:val="2"/>
        <w:rPr>
          <w:rFonts w:hint="eastAsia" w:ascii="微软雅黑" w:hAnsi="微软雅黑"/>
        </w:rPr>
      </w:pPr>
      <w:bookmarkStart w:id="42" w:name="_Toc264569232"/>
      <w:bookmarkStart w:id="43" w:name="_Toc20312518"/>
      <w:bookmarkStart w:id="44" w:name="_Toc290149054"/>
      <w:bookmarkStart w:id="45" w:name="_Toc275165382"/>
      <w:bookmarkStart w:id="46" w:name="_Toc290209312"/>
      <w:bookmarkStart w:id="47" w:name="_Toc290209336"/>
      <w:bookmarkStart w:id="48" w:name="_Toc312399791"/>
      <w:bookmarkStart w:id="49" w:name="_Toc264043625"/>
      <w:bookmarkStart w:id="50" w:name="_Toc512608180"/>
      <w:bookmarkStart w:id="51" w:name="_Toc12584"/>
      <w:r>
        <w:rPr>
          <w:rFonts w:hint="eastAsia" w:ascii="微软雅黑" w:hAnsi="微软雅黑"/>
        </w:rPr>
        <w:t>采光分析</w:t>
      </w:r>
      <w:r>
        <w:rPr>
          <w:rFonts w:ascii="微软雅黑" w:hAnsi="微软雅黑"/>
        </w:rPr>
        <w:t>概述</w:t>
      </w:r>
      <w:bookmarkEnd w:id="42"/>
      <w:bookmarkEnd w:id="43"/>
      <w:bookmarkEnd w:id="44"/>
      <w:bookmarkEnd w:id="45"/>
      <w:bookmarkEnd w:id="46"/>
      <w:bookmarkEnd w:id="47"/>
      <w:bookmarkEnd w:id="48"/>
      <w:bookmarkEnd w:id="49"/>
      <w:bookmarkEnd w:id="50"/>
      <w:bookmarkEnd w:id="51"/>
    </w:p>
    <w:p w14:paraId="24CF936D">
      <w:pPr>
        <w:pStyle w:val="3"/>
        <w:ind w:firstLine="420" w:firstLineChars="200"/>
        <w:rPr>
          <w:rFonts w:hint="eastAsia"/>
        </w:rPr>
      </w:pPr>
      <w:bookmarkStart w:id="52" w:name="_Toc264569237"/>
      <w:bookmarkStart w:id="53" w:name="_Toc264043630"/>
      <w:bookmarkStart w:id="54" w:name="_Toc275165387"/>
      <w:bookmarkStart w:id="55" w:name="_Toc290209341"/>
      <w:bookmarkStart w:id="56" w:name="_Toc290149059"/>
      <w:bookmarkStart w:id="57" w:name="_Toc312399796"/>
      <w:bookmarkStart w:id="58" w:name="_Toc290209317"/>
      <w:bookmarkStart w:id="59" w:name="_Toc534797344"/>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4A57753E">
      <w:pPr>
        <w:pStyle w:val="3"/>
        <w:ind w:firstLine="420" w:firstLineChars="200"/>
        <w:rPr>
          <w:rFonts w:hint="eastAsia"/>
        </w:rPr>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D33947F">
      <w:pPr>
        <w:pStyle w:val="3"/>
        <w:ind w:firstLine="420" w:firstLineChars="200"/>
        <w:rPr>
          <w:rFonts w:hint="eastAsia"/>
        </w:rPr>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p>
    <w:bookmarkEnd w:id="52"/>
    <w:bookmarkEnd w:id="53"/>
    <w:bookmarkEnd w:id="54"/>
    <w:bookmarkEnd w:id="55"/>
    <w:bookmarkEnd w:id="56"/>
    <w:bookmarkEnd w:id="57"/>
    <w:bookmarkEnd w:id="58"/>
    <w:p w14:paraId="224277DD">
      <w:pPr>
        <w:pStyle w:val="4"/>
        <w:rPr>
          <w:rFonts w:hint="eastAsia" w:ascii="微软雅黑" w:hAnsi="微软雅黑"/>
        </w:rPr>
      </w:pPr>
      <w:bookmarkStart w:id="60" w:name="_Toc16146"/>
      <w:r>
        <w:rPr>
          <w:rFonts w:hint="eastAsia" w:ascii="微软雅黑" w:hAnsi="微软雅黑"/>
        </w:rPr>
        <w:t>计算方法</w:t>
      </w:r>
      <w:bookmarkEnd w:id="59"/>
      <w:bookmarkEnd w:id="60"/>
    </w:p>
    <w:p w14:paraId="3ACE28C0">
      <w:pPr>
        <w:pStyle w:val="3"/>
        <w:ind w:firstLine="420" w:firstLineChars="200"/>
        <w:rPr>
          <w:rFonts w:hint="eastAsia"/>
          <w:kern w:val="2"/>
          <w:lang w:val="en-US"/>
        </w:rPr>
      </w:pPr>
      <w:bookmarkStart w:id="61" w:name="_Toc534797345"/>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《绿色建筑评价标准技术细则2019》中明确了动态采光计算参数、计算条件细节：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613D13B6">
      <w:pPr>
        <w:pStyle w:val="4"/>
        <w:rPr>
          <w:rFonts w:hint="eastAsia" w:ascii="微软雅黑" w:hAnsi="微软雅黑"/>
        </w:rPr>
      </w:pPr>
      <w:bookmarkStart w:id="62" w:name="_Toc25956"/>
      <w:r>
        <w:rPr>
          <w:rFonts w:ascii="微软雅黑" w:hAnsi="微软雅黑"/>
        </w:rPr>
        <w:t>软件</w:t>
      </w:r>
      <w:r>
        <w:rPr>
          <w:rFonts w:hint="eastAsia" w:ascii="微软雅黑" w:hAnsi="微软雅黑"/>
        </w:rPr>
        <w:t>选用</w:t>
      </w:r>
      <w:bookmarkEnd w:id="61"/>
      <w:bookmarkEnd w:id="62"/>
    </w:p>
    <w:p w14:paraId="11630D26">
      <w:pPr>
        <w:pStyle w:val="3"/>
        <w:ind w:firstLine="420" w:firstLineChars="200"/>
        <w:rPr>
          <w:rFonts w:hint="eastAsia"/>
        </w:rPr>
      </w:pPr>
      <w:r>
        <w:t>《</w:t>
      </w:r>
      <w:r>
        <w:rPr>
          <w:rFonts w:hint="eastAsia"/>
        </w:rPr>
        <w:t>绿色</w:t>
      </w:r>
      <w:r>
        <w:t>建筑评价标准》</w:t>
      </w:r>
      <w:r>
        <w:rPr>
          <w:rFonts w:hint="eastAsia"/>
        </w:rPr>
        <w:t>GB/</w:t>
      </w:r>
      <w:r>
        <w:t>T 50378</w:t>
      </w:r>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1FFC14B1">
      <w:pPr>
        <w:pStyle w:val="3"/>
        <w:ind w:firstLine="420" w:firstLineChars="200"/>
        <w:rPr>
          <w:rFonts w:hint="eastAsia"/>
        </w:rPr>
      </w:pPr>
      <w:bookmarkStart w:id="63" w:name="_Hlk154565941"/>
      <w:r>
        <w:t>Dali是国内首款与国标《建筑采光设计标准》GB50033配套的软件，支持《绿色建筑评价标准》GB/T 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63"/>
    </w:p>
    <w:p w14:paraId="24B29262">
      <w:pPr>
        <w:pStyle w:val="3"/>
        <w:ind w:firstLine="420" w:firstLineChars="200"/>
        <w:rPr>
          <w:rFonts w:hint="eastAsia"/>
        </w:rPr>
      </w:pPr>
      <w:r>
        <w:t>Dali已通过《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6EE4AE29">
      <w:pPr>
        <w:pStyle w:val="2"/>
        <w:rPr>
          <w:rFonts w:hint="eastAsia" w:ascii="微软雅黑" w:hAnsi="微软雅黑"/>
        </w:rPr>
      </w:pPr>
      <w:bookmarkStart w:id="64" w:name="_Toc16300"/>
      <w:r>
        <w:rPr>
          <w:rFonts w:hint="eastAsia" w:ascii="微软雅黑" w:hAnsi="微软雅黑"/>
        </w:rPr>
        <w:t>计算参数选用</w:t>
      </w:r>
      <w:bookmarkEnd w:id="64"/>
    </w:p>
    <w:p w14:paraId="55FA6057">
      <w:pPr>
        <w:pStyle w:val="4"/>
        <w:rPr>
          <w:rFonts w:hint="eastAsia" w:ascii="微软雅黑" w:hAnsi="微软雅黑"/>
        </w:rPr>
      </w:pPr>
      <w:bookmarkStart w:id="65" w:name="_Toc20681"/>
      <w:r>
        <w:rPr>
          <w:rFonts w:hint="eastAsia" w:ascii="微软雅黑" w:hAnsi="微软雅黑"/>
        </w:rPr>
        <w:t>模拟条件</w:t>
      </w:r>
      <w:bookmarkEnd w:id="65"/>
    </w:p>
    <w:p w14:paraId="75ED5BDB">
      <w:pPr>
        <w:pStyle w:val="3"/>
        <w:ind w:left="360" w:leftChars="200"/>
        <w:rPr>
          <w:rFonts w:hint="eastAsia"/>
          <w:b/>
          <w:lang w:val="en-US"/>
        </w:rPr>
      </w:pPr>
      <w:r>
        <w:rPr>
          <w:rFonts w:hint="eastAsia"/>
          <w:b/>
          <w:lang w:val="en-US"/>
        </w:rPr>
        <w:t>气象数据来源：</w:t>
      </w:r>
      <w:bookmarkStart w:id="66" w:name="气象数据"/>
      <w:r>
        <w:rPr>
          <w:rFonts w:hint="eastAsia"/>
          <w:lang w:val="en-US"/>
        </w:rPr>
        <w:t>《中国建筑热环境分析专用气象数据集》</w:t>
      </w:r>
      <w:bookmarkEnd w:id="66"/>
    </w:p>
    <w:p w14:paraId="0151DFBA">
      <w:pPr>
        <w:pStyle w:val="3"/>
        <w:ind w:left="360" w:leftChars="200"/>
        <w:rPr>
          <w:rFonts w:hint="eastAsia"/>
        </w:rPr>
      </w:pPr>
      <w:r>
        <w:rPr>
          <w:rFonts w:hint="eastAsia"/>
          <w:b/>
        </w:rPr>
        <w:t>计算</w:t>
      </w:r>
      <w:r>
        <w:rPr>
          <w:b/>
        </w:rPr>
        <w:t>光线反射次数</w:t>
      </w:r>
      <w:r>
        <w:t>：</w:t>
      </w:r>
      <w:bookmarkStart w:id="67" w:name="光线反射次数"/>
      <w:r>
        <w:rPr>
          <w:rFonts w:hint="eastAsia"/>
        </w:rPr>
        <w:t>3</w:t>
      </w:r>
      <w:bookmarkEnd w:id="67"/>
      <w:r>
        <w:rPr>
          <w:rFonts w:hint="eastAsia"/>
        </w:rPr>
        <w:t>次；</w:t>
      </w:r>
    </w:p>
    <w:p w14:paraId="701E1004">
      <w:pPr>
        <w:pStyle w:val="3"/>
        <w:ind w:left="360" w:leftChars="200"/>
        <w:rPr>
          <w:rFonts w:hint="eastAsia"/>
        </w:rPr>
      </w:pPr>
      <w:r>
        <w:rPr>
          <w:rFonts w:hint="eastAsia"/>
          <w:b/>
        </w:rPr>
        <w:t>分析参考平面</w:t>
      </w:r>
      <w:r>
        <w:rPr>
          <w:rFonts w:hint="eastAsia"/>
        </w:rPr>
        <w:t>：功能房间取距地面</w:t>
      </w:r>
      <w:bookmarkStart w:id="68" w:name="分析面高"/>
      <w:r>
        <w:rPr>
          <w:rFonts w:hint="eastAsia"/>
        </w:rPr>
        <w:t>0.75</w:t>
      </w:r>
      <w:bookmarkEnd w:id="68"/>
      <w:r>
        <w:rPr>
          <w:rFonts w:hint="eastAsia"/>
        </w:rPr>
        <w:t>米；</w:t>
      </w:r>
    </w:p>
    <w:p w14:paraId="1781B64B">
      <w:pPr>
        <w:pStyle w:val="3"/>
        <w:ind w:left="360" w:leftChars="200"/>
        <w:rPr>
          <w:rFonts w:hint="eastAsia"/>
        </w:rPr>
      </w:pPr>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23938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663B1563">
            <w:pPr>
              <w:jc w:val="center"/>
              <w:rPr>
                <w:rFonts w:hint="eastAsia"/>
              </w:rP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03B0755F">
            <w:pPr>
              <w:jc w:val="center"/>
              <w:rPr>
                <w:rFonts w:hint="eastAsia"/>
              </w:rPr>
            </w:pPr>
            <w:r>
              <w:rPr>
                <w:rFonts w:hint="eastAsia"/>
              </w:rPr>
              <w:t>网格大小（m）</w:t>
            </w:r>
          </w:p>
        </w:tc>
      </w:tr>
      <w:tr w14:paraId="0723B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6CD7EF42">
            <w:pPr>
              <w:jc w:val="center"/>
              <w:rPr>
                <w:rFonts w:hint="eastAsia"/>
              </w:rPr>
            </w:pPr>
            <w:r>
              <w:rPr>
                <w:rFonts w:hint="eastAsia"/>
              </w:rPr>
              <w:t>≤</w:t>
            </w:r>
            <w:bookmarkStart w:id="69" w:name="网格划分小房间面积"/>
            <w:r>
              <w:rPr>
                <w:rFonts w:hint="eastAsia"/>
              </w:rPr>
              <w:t>10</w:t>
            </w:r>
            <w:bookmarkEnd w:id="69"/>
          </w:p>
        </w:tc>
        <w:tc>
          <w:tcPr>
            <w:tcW w:w="3272" w:type="dxa"/>
            <w:shd w:val="clear" w:color="auto" w:fill="auto"/>
            <w:vAlign w:val="center"/>
          </w:tcPr>
          <w:p w14:paraId="3302A293">
            <w:pPr>
              <w:jc w:val="center"/>
              <w:rPr>
                <w:rFonts w:hint="eastAsia"/>
              </w:rPr>
            </w:pPr>
            <w:bookmarkStart w:id="70" w:name="小房间网格大小"/>
            <w:r>
              <w:rPr>
                <w:rFonts w:hint="eastAsia"/>
              </w:rPr>
              <w:t>0.25</w:t>
            </w:r>
            <w:bookmarkEnd w:id="70"/>
          </w:p>
        </w:tc>
      </w:tr>
      <w:tr w14:paraId="0B380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FE1960E">
            <w:pPr>
              <w:jc w:val="center"/>
              <w:rPr>
                <w:rFonts w:hint="eastAsia"/>
              </w:rPr>
            </w:pPr>
            <w:bookmarkStart w:id="71" w:name="网格划分房间面积"/>
            <w:r>
              <w:rPr>
                <w:rFonts w:hint="eastAsia"/>
              </w:rPr>
              <w:t>10~100</w:t>
            </w:r>
            <w:bookmarkEnd w:id="71"/>
          </w:p>
        </w:tc>
        <w:tc>
          <w:tcPr>
            <w:tcW w:w="3272" w:type="dxa"/>
            <w:shd w:val="clear" w:color="auto" w:fill="auto"/>
            <w:vAlign w:val="center"/>
          </w:tcPr>
          <w:p w14:paraId="0C4697BE">
            <w:pPr>
              <w:jc w:val="center"/>
              <w:rPr>
                <w:rFonts w:hint="eastAsia"/>
              </w:rPr>
            </w:pPr>
            <w:bookmarkStart w:id="72" w:name="网格大小"/>
            <w:r>
              <w:rPr>
                <w:rFonts w:hint="eastAsia"/>
              </w:rPr>
              <w:t>0.50</w:t>
            </w:r>
            <w:bookmarkEnd w:id="72"/>
          </w:p>
        </w:tc>
      </w:tr>
      <w:tr w14:paraId="3625F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ED25330">
            <w:pPr>
              <w:jc w:val="center"/>
              <w:rPr>
                <w:rFonts w:hint="eastAsia"/>
              </w:rPr>
            </w:pPr>
            <w:r>
              <w:rPr>
                <w:rFonts w:hint="eastAsia"/>
              </w:rPr>
              <w:t>≥</w:t>
            </w:r>
            <w:bookmarkStart w:id="73" w:name="网格划分大房间面积"/>
            <w:r>
              <w:rPr>
                <w:rFonts w:hint="eastAsia"/>
              </w:rPr>
              <w:t>100</w:t>
            </w:r>
            <w:bookmarkEnd w:id="73"/>
          </w:p>
        </w:tc>
        <w:tc>
          <w:tcPr>
            <w:tcW w:w="3272" w:type="dxa"/>
            <w:shd w:val="clear" w:color="auto" w:fill="auto"/>
            <w:vAlign w:val="center"/>
          </w:tcPr>
          <w:p w14:paraId="65CE4B27">
            <w:pPr>
              <w:jc w:val="center"/>
              <w:rPr>
                <w:rFonts w:hint="eastAsia"/>
              </w:rPr>
            </w:pPr>
            <w:bookmarkStart w:id="74" w:name="大房间网格大小"/>
            <w:r>
              <w:rPr>
                <w:rFonts w:hint="eastAsia"/>
              </w:rPr>
              <w:t>1.00</w:t>
            </w:r>
            <w:bookmarkEnd w:id="74"/>
          </w:p>
        </w:tc>
      </w:tr>
    </w:tbl>
    <w:p w14:paraId="6925A530">
      <w:pPr>
        <w:pStyle w:val="3"/>
        <w:ind w:left="360" w:leftChars="200"/>
        <w:rPr>
          <w:rFonts w:hint="eastAsia"/>
        </w:rPr>
      </w:pPr>
      <w:r>
        <w:rPr>
          <w:rFonts w:hint="eastAsia"/>
          <w:b/>
        </w:rPr>
        <w:t>周边环境：</w:t>
      </w:r>
      <w:r>
        <w:rPr>
          <w:rFonts w:hint="eastAsia"/>
        </w:rPr>
        <w:t>根据</w:t>
      </w:r>
      <w:r>
        <w:t>《民用建筑绿色性能计算标准》JGJ/T449</w:t>
      </w:r>
      <w:r>
        <w:rPr>
          <w:rFonts w:hint="eastAsia"/>
        </w:rPr>
        <w:t>第6</w:t>
      </w:r>
      <w:r>
        <w:t>.4.4</w:t>
      </w:r>
      <w:r>
        <w:rPr>
          <w:rFonts w:hint="eastAsia"/>
        </w:rPr>
        <w:t>条要求，考虑周边建筑物等影响。</w:t>
      </w:r>
    </w:p>
    <w:p w14:paraId="7C1EB8AB">
      <w:pPr>
        <w:pStyle w:val="4"/>
        <w:rPr>
          <w:rFonts w:hint="eastAsia" w:ascii="微软雅黑" w:hAnsi="微软雅黑"/>
        </w:rPr>
      </w:pPr>
      <w:bookmarkStart w:id="75" w:name="_Toc26242"/>
      <w:r>
        <w:rPr>
          <w:rFonts w:hint="eastAsia" w:ascii="微软雅黑" w:hAnsi="微软雅黑"/>
        </w:rPr>
        <w:t>建筑饰面材料参数</w:t>
      </w:r>
      <w:bookmarkEnd w:id="75"/>
    </w:p>
    <w:p w14:paraId="1E50684B">
      <w:pPr>
        <w:pStyle w:val="3"/>
        <w:ind w:firstLine="420" w:firstLineChars="20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w:t>
      </w:r>
    </w:p>
    <w:p w14:paraId="4522C14B">
      <w:pPr>
        <w:pStyle w:val="3"/>
        <w:ind w:firstLine="420" w:firstLineChars="200"/>
        <w:rPr>
          <w:rFonts w:hint="eastAsia"/>
          <w:lang w:val="en-US"/>
        </w:rPr>
      </w:pP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。采光模拟应符合现行行业标准《民用建筑绿色</w:t>
      </w:r>
      <w:r>
        <w:rPr>
          <w:lang w:val="en-US"/>
        </w:rPr>
        <w:t>性能计算标准》JGJ/T449</w:t>
      </w:r>
      <w:r>
        <w:rPr>
          <w:rFonts w:hint="eastAsia"/>
          <w:lang w:val="en-US"/>
        </w:rPr>
        <w:t>相关规定，</w:t>
      </w:r>
      <w:r>
        <w:rPr>
          <w:lang w:val="en-US"/>
        </w:rPr>
        <w:t>具体参数情况见下表：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2"/>
        <w:gridCol w:w="1732"/>
        <w:gridCol w:w="1732"/>
        <w:gridCol w:w="1732"/>
        <w:gridCol w:w="1732"/>
      </w:tblGrid>
      <w:tr w14:paraId="47F97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shd w:val="clear" w:color="auto" w:fill="E6E6E6"/>
            <w:vAlign w:val="center"/>
          </w:tcPr>
          <w:p w14:paraId="1F506909">
            <w:pPr>
              <w:jc w:val="center"/>
              <w:rPr>
                <w:rFonts w:hint="eastAsia"/>
              </w:rPr>
            </w:pPr>
            <w:r>
              <w:rPr>
                <w:rFonts w:hint="eastAsia"/>
              </w:rPr>
              <w:t>位置</w:t>
            </w:r>
          </w:p>
        </w:tc>
        <w:tc>
          <w:tcPr>
            <w:tcW w:w="1732" w:type="dxa"/>
            <w:shd w:val="clear" w:color="auto" w:fill="E6E6E6"/>
            <w:vAlign w:val="center"/>
          </w:tcPr>
          <w:p w14:paraId="6ADA3C75">
            <w:pPr>
              <w:jc w:val="center"/>
              <w:rPr>
                <w:rFonts w:hint="eastAsia"/>
              </w:rPr>
            </w:pPr>
            <w:r>
              <w:rPr>
                <w:rFonts w:hint="eastAsia"/>
              </w:rPr>
              <w:t>顶棚</w:t>
            </w:r>
          </w:p>
        </w:tc>
        <w:tc>
          <w:tcPr>
            <w:tcW w:w="1732" w:type="dxa"/>
            <w:shd w:val="clear" w:color="auto" w:fill="E6E6E6"/>
          </w:tcPr>
          <w:p w14:paraId="514E4B90">
            <w:pPr>
              <w:jc w:val="center"/>
              <w:rPr>
                <w:rFonts w:hint="eastAsia"/>
              </w:rPr>
            </w:pPr>
            <w:r>
              <w:rPr>
                <w:rFonts w:hint="eastAsia"/>
              </w:rPr>
              <w:t>地面</w:t>
            </w:r>
          </w:p>
        </w:tc>
        <w:tc>
          <w:tcPr>
            <w:tcW w:w="1732" w:type="dxa"/>
            <w:shd w:val="clear" w:color="auto" w:fill="E6E6E6"/>
          </w:tcPr>
          <w:p w14:paraId="43B5C547">
            <w:pPr>
              <w:jc w:val="center"/>
              <w:rPr>
                <w:rFonts w:hint="eastAsia"/>
              </w:rPr>
            </w:pPr>
            <w:r>
              <w:rPr>
                <w:rFonts w:hint="eastAsia"/>
              </w:rPr>
              <w:t>墙面</w:t>
            </w:r>
          </w:p>
        </w:tc>
        <w:tc>
          <w:tcPr>
            <w:tcW w:w="1732" w:type="dxa"/>
            <w:shd w:val="clear" w:color="auto" w:fill="E6E6E6"/>
          </w:tcPr>
          <w:p w14:paraId="2F5E1933">
            <w:pPr>
              <w:jc w:val="center"/>
              <w:rPr>
                <w:rFonts w:hint="eastAsia"/>
              </w:rPr>
            </w:pPr>
            <w:r>
              <w:rPr>
                <w:rFonts w:hint="eastAsia"/>
              </w:rPr>
              <w:t>外表面</w:t>
            </w:r>
          </w:p>
        </w:tc>
      </w:tr>
      <w:tr w14:paraId="5DCD9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shd w:val="clear" w:color="auto" w:fill="auto"/>
            <w:vAlign w:val="center"/>
          </w:tcPr>
          <w:p w14:paraId="4921F6A7">
            <w:pPr>
              <w:jc w:val="center"/>
              <w:rPr>
                <w:rFonts w:hint="eastAsia"/>
              </w:rPr>
            </w:pPr>
            <w:r>
              <w:rPr>
                <w:rFonts w:hint="eastAsia"/>
              </w:rPr>
              <w:t>反射比材料设计取值</w:t>
            </w:r>
          </w:p>
        </w:tc>
        <w:tc>
          <w:tcPr>
            <w:tcW w:w="1732" w:type="dxa"/>
            <w:shd w:val="clear" w:color="auto" w:fill="auto"/>
            <w:vAlign w:val="center"/>
          </w:tcPr>
          <w:p w14:paraId="3700415B">
            <w:pPr>
              <w:jc w:val="center"/>
              <w:rPr>
                <w:rFonts w:hint="eastAsia"/>
              </w:rPr>
            </w:pPr>
            <w:bookmarkStart w:id="76" w:name="顶棚反射比"/>
            <w:r>
              <w:rPr>
                <w:rFonts w:hint="eastAsia"/>
              </w:rPr>
              <w:t>0.75</w:t>
            </w:r>
            <w:bookmarkEnd w:id="76"/>
          </w:p>
        </w:tc>
        <w:tc>
          <w:tcPr>
            <w:tcW w:w="1732" w:type="dxa"/>
            <w:vAlign w:val="center"/>
          </w:tcPr>
          <w:p w14:paraId="1FD80DFC">
            <w:pPr>
              <w:jc w:val="center"/>
              <w:rPr>
                <w:rFonts w:hint="eastAsia"/>
              </w:rPr>
            </w:pPr>
            <w:bookmarkStart w:id="77" w:name="地面反射比"/>
            <w:r>
              <w:rPr>
                <w:rFonts w:hint="eastAsia"/>
              </w:rPr>
              <w:t>0.30</w:t>
            </w:r>
            <w:bookmarkEnd w:id="77"/>
          </w:p>
        </w:tc>
        <w:tc>
          <w:tcPr>
            <w:tcW w:w="1732" w:type="dxa"/>
            <w:vAlign w:val="center"/>
          </w:tcPr>
          <w:p w14:paraId="3E9D52CA">
            <w:pPr>
              <w:jc w:val="center"/>
              <w:rPr>
                <w:rFonts w:hint="eastAsia"/>
              </w:rPr>
            </w:pPr>
            <w:bookmarkStart w:id="78" w:name="墙面反射比"/>
            <w:r>
              <w:rPr>
                <w:rFonts w:hint="eastAsia"/>
              </w:rPr>
              <w:t>0.60</w:t>
            </w:r>
            <w:bookmarkEnd w:id="78"/>
          </w:p>
        </w:tc>
        <w:tc>
          <w:tcPr>
            <w:tcW w:w="1732" w:type="dxa"/>
            <w:vAlign w:val="center"/>
          </w:tcPr>
          <w:p w14:paraId="347DEBD8">
            <w:pPr>
              <w:jc w:val="center"/>
              <w:rPr>
                <w:rFonts w:hint="eastAsia"/>
              </w:rPr>
            </w:pPr>
            <w:bookmarkStart w:id="79" w:name="外表面反射比"/>
            <w:r>
              <w:rPr>
                <w:rFonts w:hint="eastAsia"/>
              </w:rPr>
              <w:t>0.30</w:t>
            </w:r>
            <w:bookmarkEnd w:id="79"/>
          </w:p>
        </w:tc>
      </w:tr>
    </w:tbl>
    <w:p w14:paraId="144148D0">
      <w:pPr>
        <w:pStyle w:val="4"/>
        <w:rPr>
          <w:rFonts w:hint="eastAsia" w:ascii="微软雅黑" w:hAnsi="微软雅黑"/>
        </w:rPr>
      </w:pPr>
      <w:bookmarkStart w:id="80" w:name="_Toc3930"/>
      <w:r>
        <w:rPr>
          <w:rFonts w:hint="eastAsia" w:ascii="微软雅黑" w:hAnsi="微软雅黑"/>
        </w:rPr>
        <w:t>门窗类型参数</w:t>
      </w:r>
      <w:bookmarkEnd w:id="80"/>
    </w:p>
    <w:p w14:paraId="3F654F37">
      <w:pPr>
        <w:pStyle w:val="3"/>
        <w:ind w:firstLine="420" w:firstLineChars="200"/>
        <w:rPr>
          <w:rFonts w:hint="eastAsia"/>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2C9CC846">
      <w:pPr>
        <w:pStyle w:val="3"/>
        <w:ind w:firstLine="420" w:firstLineChars="200"/>
        <w:rPr>
          <w:rFonts w:hint="eastAsia"/>
          <w:lang w:val="en-US"/>
        </w:rPr>
      </w:pPr>
      <w:r>
        <w:rPr>
          <w:rFonts w:hint="eastAsia"/>
          <w:lang w:val="en-US"/>
        </w:rPr>
        <w:t>本项目中透光门、窗户的性能参数包括门窗尺寸、挡光系数、窗框类型、玻璃类型、可见光透射比和反射比，参数具体数值情况详见下文。</w:t>
      </w:r>
    </w:p>
    <w:p w14:paraId="03E18A65">
      <w:pPr>
        <w:pStyle w:val="3"/>
        <w:rPr>
          <w:rFonts w:hint="eastAsia"/>
          <w:sz w:val="18"/>
          <w:szCs w:val="18"/>
          <w:lang w:val="en-US"/>
        </w:rPr>
      </w:pPr>
    </w:p>
    <w:p w14:paraId="7E86F431">
      <w:pPr>
        <w:pStyle w:val="5"/>
        <w:rPr>
          <w:rFonts w:hint="eastAsia"/>
        </w:rPr>
      </w:pPr>
      <w:bookmarkStart w:id="81" w:name="_Toc18238"/>
      <w:bookmarkStart w:id="82" w:name="窗"/>
      <w:r>
        <w:t>普通</w:t>
      </w:r>
      <w:r>
        <w:rPr>
          <w:rFonts w:hint="eastAsia"/>
        </w:rPr>
        <w:t>窗</w:t>
      </w:r>
      <w:bookmarkEnd w:id="81"/>
    </w:p>
    <w:bookmarkEnd w:id="82"/>
    <w:tbl>
      <w:tblPr>
        <w:tblStyle w:val="23"/>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03733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D41A074">
            <w:pPr>
              <w:jc w:val="center"/>
              <w:rPr>
                <w:sz w:val="18"/>
                <w:szCs w:val="18"/>
              </w:rPr>
            </w:pPr>
            <w:r>
              <w:rPr>
                <w:sz w:val="18"/>
                <w:szCs w:val="18"/>
              </w:rPr>
              <w:t>门窗编号</w:t>
            </w:r>
          </w:p>
        </w:tc>
        <w:tc>
          <w:tcPr>
            <w:shd w:val="clear" w:color="auto" w:fill="E6E6E6"/>
            <w:vAlign w:val="center"/>
          </w:tcPr>
          <w:p w14:paraId="1FD2F398">
            <w:pPr>
              <w:jc w:val="center"/>
              <w:rPr>
                <w:sz w:val="18"/>
                <w:szCs w:val="18"/>
              </w:rPr>
            </w:pPr>
            <w:r>
              <w:rPr>
                <w:sz w:val="18"/>
                <w:szCs w:val="18"/>
              </w:rPr>
              <w:t>宽度(mm)</w:t>
            </w:r>
          </w:p>
        </w:tc>
        <w:tc>
          <w:tcPr>
            <w:shd w:val="clear" w:color="auto" w:fill="E6E6E6"/>
            <w:vAlign w:val="center"/>
          </w:tcPr>
          <w:p w14:paraId="5653A1AE">
            <w:pPr>
              <w:jc w:val="center"/>
              <w:rPr>
                <w:sz w:val="18"/>
                <w:szCs w:val="18"/>
              </w:rPr>
            </w:pPr>
            <w:r>
              <w:rPr>
                <w:sz w:val="18"/>
                <w:szCs w:val="18"/>
              </w:rPr>
              <w:t>高度(mm)</w:t>
            </w:r>
          </w:p>
        </w:tc>
        <w:tc>
          <w:tcPr>
            <w:shd w:val="clear" w:color="auto" w:fill="E6E6E6"/>
            <w:vAlign w:val="center"/>
          </w:tcPr>
          <w:p w14:paraId="148F433B">
            <w:pPr>
              <w:jc w:val="center"/>
              <w:rPr>
                <w:sz w:val="18"/>
                <w:szCs w:val="18"/>
              </w:rPr>
            </w:pPr>
            <w:r>
              <w:rPr>
                <w:sz w:val="18"/>
                <w:szCs w:val="18"/>
              </w:rPr>
              <w:t>窗框类型</w:t>
            </w:r>
          </w:p>
        </w:tc>
        <w:tc>
          <w:tcPr>
            <w:shd w:val="clear" w:color="auto" w:fill="E6E6E6"/>
            <w:vAlign w:val="center"/>
          </w:tcPr>
          <w:p w14:paraId="38C7147E">
            <w:pPr>
              <w:jc w:val="center"/>
              <w:rPr>
                <w:sz w:val="18"/>
                <w:szCs w:val="18"/>
              </w:rPr>
            </w:pPr>
            <w:r>
              <w:rPr>
                <w:sz w:val="18"/>
                <w:szCs w:val="18"/>
              </w:rPr>
              <w:t>玻璃类型</w:t>
            </w:r>
          </w:p>
        </w:tc>
        <w:tc>
          <w:tcPr>
            <w:shd w:val="clear" w:color="auto" w:fill="E6E6E6"/>
            <w:vAlign w:val="center"/>
          </w:tcPr>
          <w:p w14:paraId="3E3C7180">
            <w:pPr>
              <w:jc w:val="center"/>
              <w:rPr>
                <w:sz w:val="18"/>
                <w:szCs w:val="18"/>
              </w:rPr>
            </w:pPr>
            <w:r>
              <w:rPr>
                <w:sz w:val="18"/>
                <w:szCs w:val="18"/>
              </w:rPr>
              <w:t>可见光透射比</w:t>
            </w:r>
          </w:p>
        </w:tc>
        <w:tc>
          <w:tcPr>
            <w:shd w:val="clear" w:color="auto" w:fill="E6E6E6"/>
            <w:vAlign w:val="center"/>
          </w:tcPr>
          <w:p w14:paraId="01DB7C15">
            <w:pPr>
              <w:jc w:val="center"/>
              <w:rPr>
                <w:sz w:val="18"/>
                <w:szCs w:val="18"/>
              </w:rPr>
            </w:pPr>
            <w:r>
              <w:rPr>
                <w:sz w:val="18"/>
                <w:szCs w:val="18"/>
              </w:rPr>
              <w:t>玻璃反射比</w:t>
            </w:r>
          </w:p>
        </w:tc>
      </w:tr>
      <w:tr w14:paraId="5E76F1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732B8BB">
            <w:pPr>
              <w:jc w:val="center"/>
              <w:rPr>
                <w:sz w:val="18"/>
                <w:szCs w:val="18"/>
              </w:rPr>
            </w:pPr>
            <w:r>
              <w:rPr>
                <w:sz w:val="18"/>
                <w:szCs w:val="18"/>
              </w:rPr>
              <w:t>111</w:t>
            </w:r>
          </w:p>
        </w:tc>
        <w:tc>
          <w:tcPr>
            <w:vAlign w:val="center"/>
          </w:tcPr>
          <w:p w14:paraId="5789B0A1">
            <w:pPr>
              <w:jc w:val="center"/>
              <w:rPr>
                <w:sz w:val="18"/>
                <w:szCs w:val="18"/>
              </w:rPr>
            </w:pPr>
            <w:r>
              <w:rPr>
                <w:sz w:val="18"/>
                <w:szCs w:val="18"/>
              </w:rPr>
              <w:t>2400</w:t>
            </w:r>
          </w:p>
        </w:tc>
        <w:tc>
          <w:tcPr>
            <w:vAlign w:val="center"/>
          </w:tcPr>
          <w:p w14:paraId="3F14F2B9">
            <w:pPr>
              <w:jc w:val="center"/>
              <w:rPr>
                <w:sz w:val="18"/>
                <w:szCs w:val="18"/>
              </w:rPr>
            </w:pPr>
            <w:r>
              <w:rPr>
                <w:sz w:val="18"/>
                <w:szCs w:val="18"/>
              </w:rPr>
              <w:t>1500</w:t>
            </w:r>
          </w:p>
        </w:tc>
        <w:tc>
          <w:tcPr>
            <w:vAlign w:val="center"/>
          </w:tcPr>
          <w:p w14:paraId="5A284CAD">
            <w:pPr>
              <w:jc w:val="center"/>
              <w:rPr>
                <w:sz w:val="18"/>
                <w:szCs w:val="18"/>
              </w:rPr>
            </w:pPr>
            <w:r>
              <w:rPr>
                <w:sz w:val="18"/>
                <w:szCs w:val="18"/>
              </w:rPr>
              <w:t>单层铝窗</w:t>
            </w:r>
          </w:p>
        </w:tc>
        <w:tc>
          <w:tcPr>
            <w:vAlign w:val="center"/>
          </w:tcPr>
          <w:p w14:paraId="303916BE">
            <w:pPr>
              <w:jc w:val="center"/>
              <w:rPr>
                <w:sz w:val="18"/>
                <w:szCs w:val="18"/>
              </w:rPr>
            </w:pPr>
            <w:r>
              <w:rPr>
                <w:sz w:val="18"/>
                <w:szCs w:val="18"/>
              </w:rPr>
              <w:t>普通玻璃</w:t>
            </w:r>
          </w:p>
        </w:tc>
        <w:tc>
          <w:tcPr>
            <w:vAlign w:val="center"/>
          </w:tcPr>
          <w:p w14:paraId="6E488AA1">
            <w:pPr>
              <w:jc w:val="center"/>
              <w:rPr>
                <w:sz w:val="18"/>
                <w:szCs w:val="18"/>
              </w:rPr>
            </w:pPr>
            <w:r>
              <w:rPr>
                <w:sz w:val="18"/>
                <w:szCs w:val="18"/>
              </w:rPr>
              <w:t>0.89</w:t>
            </w:r>
          </w:p>
        </w:tc>
        <w:tc>
          <w:tcPr>
            <w:vAlign w:val="center"/>
          </w:tcPr>
          <w:p w14:paraId="1A772B7D">
            <w:pPr>
              <w:jc w:val="center"/>
              <w:rPr>
                <w:sz w:val="18"/>
                <w:szCs w:val="18"/>
              </w:rPr>
            </w:pPr>
            <w:r>
              <w:rPr>
                <w:sz w:val="18"/>
                <w:szCs w:val="18"/>
              </w:rPr>
              <w:t>0.08</w:t>
            </w:r>
          </w:p>
        </w:tc>
      </w:tr>
      <w:tr w14:paraId="6C2F1A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2D337D8">
            <w:pPr>
              <w:jc w:val="center"/>
              <w:rPr>
                <w:sz w:val="18"/>
                <w:szCs w:val="18"/>
              </w:rPr>
            </w:pPr>
            <w:r>
              <w:rPr>
                <w:sz w:val="18"/>
                <w:szCs w:val="18"/>
              </w:rPr>
              <w:t>1111</w:t>
            </w:r>
          </w:p>
        </w:tc>
        <w:tc>
          <w:tcPr>
            <w:vAlign w:val="center"/>
          </w:tcPr>
          <w:p w14:paraId="065B7D07">
            <w:pPr>
              <w:jc w:val="center"/>
              <w:rPr>
                <w:sz w:val="18"/>
                <w:szCs w:val="18"/>
              </w:rPr>
            </w:pPr>
            <w:r>
              <w:rPr>
                <w:sz w:val="18"/>
                <w:szCs w:val="18"/>
              </w:rPr>
              <w:t>2400</w:t>
            </w:r>
          </w:p>
        </w:tc>
        <w:tc>
          <w:tcPr>
            <w:vAlign w:val="center"/>
          </w:tcPr>
          <w:p w14:paraId="0E75C336">
            <w:pPr>
              <w:jc w:val="center"/>
              <w:rPr>
                <w:sz w:val="18"/>
                <w:szCs w:val="18"/>
              </w:rPr>
            </w:pPr>
            <w:r>
              <w:rPr>
                <w:sz w:val="18"/>
                <w:szCs w:val="18"/>
              </w:rPr>
              <w:t>1100</w:t>
            </w:r>
          </w:p>
        </w:tc>
        <w:tc>
          <w:tcPr>
            <w:vAlign w:val="center"/>
          </w:tcPr>
          <w:p w14:paraId="74006A6F">
            <w:pPr>
              <w:jc w:val="center"/>
              <w:rPr>
                <w:sz w:val="18"/>
                <w:szCs w:val="18"/>
              </w:rPr>
            </w:pPr>
            <w:r>
              <w:rPr>
                <w:sz w:val="18"/>
                <w:szCs w:val="18"/>
              </w:rPr>
              <w:t>单层铝窗</w:t>
            </w:r>
          </w:p>
        </w:tc>
        <w:tc>
          <w:tcPr>
            <w:vAlign w:val="center"/>
          </w:tcPr>
          <w:p w14:paraId="22053FEC">
            <w:pPr>
              <w:jc w:val="center"/>
              <w:rPr>
                <w:sz w:val="18"/>
                <w:szCs w:val="18"/>
              </w:rPr>
            </w:pPr>
            <w:r>
              <w:rPr>
                <w:sz w:val="18"/>
                <w:szCs w:val="18"/>
              </w:rPr>
              <w:t>普通玻璃</w:t>
            </w:r>
          </w:p>
        </w:tc>
        <w:tc>
          <w:tcPr>
            <w:vAlign w:val="center"/>
          </w:tcPr>
          <w:p w14:paraId="34417C86">
            <w:pPr>
              <w:jc w:val="center"/>
              <w:rPr>
                <w:sz w:val="18"/>
                <w:szCs w:val="18"/>
              </w:rPr>
            </w:pPr>
            <w:r>
              <w:rPr>
                <w:sz w:val="18"/>
                <w:szCs w:val="18"/>
              </w:rPr>
              <w:t>0.89</w:t>
            </w:r>
          </w:p>
        </w:tc>
        <w:tc>
          <w:tcPr>
            <w:vAlign w:val="center"/>
          </w:tcPr>
          <w:p w14:paraId="0EA0DDB5">
            <w:pPr>
              <w:jc w:val="center"/>
              <w:rPr>
                <w:sz w:val="18"/>
                <w:szCs w:val="18"/>
              </w:rPr>
            </w:pPr>
            <w:r>
              <w:rPr>
                <w:sz w:val="18"/>
                <w:szCs w:val="18"/>
              </w:rPr>
              <w:t>0.08</w:t>
            </w:r>
          </w:p>
        </w:tc>
      </w:tr>
      <w:tr w14:paraId="2B3221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D865F1C">
            <w:pPr>
              <w:jc w:val="center"/>
              <w:rPr>
                <w:sz w:val="18"/>
                <w:szCs w:val="18"/>
              </w:rPr>
            </w:pPr>
            <w:r>
              <w:rPr>
                <w:sz w:val="18"/>
                <w:szCs w:val="18"/>
              </w:rPr>
              <w:t>21</w:t>
            </w:r>
          </w:p>
        </w:tc>
        <w:tc>
          <w:tcPr>
            <w:vAlign w:val="center"/>
          </w:tcPr>
          <w:p w14:paraId="6B3B0AE4">
            <w:pPr>
              <w:jc w:val="center"/>
              <w:rPr>
                <w:sz w:val="18"/>
                <w:szCs w:val="18"/>
              </w:rPr>
            </w:pPr>
            <w:r>
              <w:rPr>
                <w:sz w:val="18"/>
                <w:szCs w:val="18"/>
              </w:rPr>
              <w:t>1500</w:t>
            </w:r>
          </w:p>
        </w:tc>
        <w:tc>
          <w:tcPr>
            <w:vAlign w:val="center"/>
          </w:tcPr>
          <w:p w14:paraId="40501898">
            <w:pPr>
              <w:jc w:val="center"/>
              <w:rPr>
                <w:sz w:val="18"/>
                <w:szCs w:val="18"/>
              </w:rPr>
            </w:pPr>
            <w:r>
              <w:rPr>
                <w:sz w:val="18"/>
                <w:szCs w:val="18"/>
              </w:rPr>
              <w:t>1500</w:t>
            </w:r>
          </w:p>
        </w:tc>
        <w:tc>
          <w:tcPr>
            <w:vAlign w:val="center"/>
          </w:tcPr>
          <w:p w14:paraId="3C4AA1CD">
            <w:pPr>
              <w:jc w:val="center"/>
              <w:rPr>
                <w:sz w:val="18"/>
                <w:szCs w:val="18"/>
              </w:rPr>
            </w:pPr>
            <w:r>
              <w:rPr>
                <w:sz w:val="18"/>
                <w:szCs w:val="18"/>
              </w:rPr>
              <w:t>单层铝窗</w:t>
            </w:r>
          </w:p>
        </w:tc>
        <w:tc>
          <w:tcPr>
            <w:vAlign w:val="center"/>
          </w:tcPr>
          <w:p w14:paraId="19C2EB11">
            <w:pPr>
              <w:jc w:val="center"/>
              <w:rPr>
                <w:sz w:val="18"/>
                <w:szCs w:val="18"/>
              </w:rPr>
            </w:pPr>
            <w:r>
              <w:rPr>
                <w:sz w:val="18"/>
                <w:szCs w:val="18"/>
              </w:rPr>
              <w:t>普通玻璃</w:t>
            </w:r>
          </w:p>
        </w:tc>
        <w:tc>
          <w:tcPr>
            <w:vAlign w:val="center"/>
          </w:tcPr>
          <w:p w14:paraId="4144F395">
            <w:pPr>
              <w:jc w:val="center"/>
              <w:rPr>
                <w:sz w:val="18"/>
                <w:szCs w:val="18"/>
              </w:rPr>
            </w:pPr>
            <w:r>
              <w:rPr>
                <w:sz w:val="18"/>
                <w:szCs w:val="18"/>
              </w:rPr>
              <w:t>0.89</w:t>
            </w:r>
          </w:p>
        </w:tc>
        <w:tc>
          <w:tcPr>
            <w:vAlign w:val="center"/>
          </w:tcPr>
          <w:p w14:paraId="577C37A2">
            <w:pPr>
              <w:jc w:val="center"/>
              <w:rPr>
                <w:sz w:val="18"/>
                <w:szCs w:val="18"/>
              </w:rPr>
            </w:pPr>
            <w:r>
              <w:rPr>
                <w:sz w:val="18"/>
                <w:szCs w:val="18"/>
              </w:rPr>
              <w:t>0.08</w:t>
            </w:r>
          </w:p>
        </w:tc>
      </w:tr>
      <w:tr w14:paraId="2C8C52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4803481">
            <w:pPr>
              <w:jc w:val="center"/>
              <w:rPr>
                <w:sz w:val="18"/>
                <w:szCs w:val="18"/>
              </w:rPr>
            </w:pPr>
            <w:r>
              <w:rPr>
                <w:sz w:val="18"/>
                <w:szCs w:val="18"/>
              </w:rPr>
              <w:t>222</w:t>
            </w:r>
          </w:p>
        </w:tc>
        <w:tc>
          <w:tcPr>
            <w:vAlign w:val="center"/>
          </w:tcPr>
          <w:p w14:paraId="65482C40">
            <w:pPr>
              <w:jc w:val="center"/>
              <w:rPr>
                <w:sz w:val="18"/>
                <w:szCs w:val="18"/>
              </w:rPr>
            </w:pPr>
            <w:r>
              <w:rPr>
                <w:sz w:val="18"/>
                <w:szCs w:val="18"/>
              </w:rPr>
              <w:t>2400</w:t>
            </w:r>
          </w:p>
        </w:tc>
        <w:tc>
          <w:tcPr>
            <w:vAlign w:val="center"/>
          </w:tcPr>
          <w:p w14:paraId="41AF84EF">
            <w:pPr>
              <w:jc w:val="center"/>
              <w:rPr>
                <w:sz w:val="18"/>
                <w:szCs w:val="18"/>
              </w:rPr>
            </w:pPr>
            <w:r>
              <w:rPr>
                <w:sz w:val="18"/>
                <w:szCs w:val="18"/>
              </w:rPr>
              <w:t>1500</w:t>
            </w:r>
          </w:p>
        </w:tc>
        <w:tc>
          <w:tcPr>
            <w:vAlign w:val="center"/>
          </w:tcPr>
          <w:p w14:paraId="6A585519">
            <w:pPr>
              <w:jc w:val="center"/>
              <w:rPr>
                <w:sz w:val="18"/>
                <w:szCs w:val="18"/>
              </w:rPr>
            </w:pPr>
            <w:r>
              <w:rPr>
                <w:sz w:val="18"/>
                <w:szCs w:val="18"/>
              </w:rPr>
              <w:t>单层铝窗</w:t>
            </w:r>
          </w:p>
        </w:tc>
        <w:tc>
          <w:tcPr>
            <w:vAlign w:val="center"/>
          </w:tcPr>
          <w:p w14:paraId="4984DEEE">
            <w:pPr>
              <w:jc w:val="center"/>
              <w:rPr>
                <w:sz w:val="18"/>
                <w:szCs w:val="18"/>
              </w:rPr>
            </w:pPr>
            <w:r>
              <w:rPr>
                <w:sz w:val="18"/>
                <w:szCs w:val="18"/>
              </w:rPr>
              <w:t>普通玻璃</w:t>
            </w:r>
          </w:p>
        </w:tc>
        <w:tc>
          <w:tcPr>
            <w:vAlign w:val="center"/>
          </w:tcPr>
          <w:p w14:paraId="06C46745">
            <w:pPr>
              <w:jc w:val="center"/>
              <w:rPr>
                <w:sz w:val="18"/>
                <w:szCs w:val="18"/>
              </w:rPr>
            </w:pPr>
            <w:r>
              <w:rPr>
                <w:sz w:val="18"/>
                <w:szCs w:val="18"/>
              </w:rPr>
              <w:t>0.89</w:t>
            </w:r>
          </w:p>
        </w:tc>
        <w:tc>
          <w:tcPr>
            <w:vAlign w:val="center"/>
          </w:tcPr>
          <w:p w14:paraId="354FFAC9">
            <w:pPr>
              <w:jc w:val="center"/>
              <w:rPr>
                <w:sz w:val="18"/>
                <w:szCs w:val="18"/>
              </w:rPr>
            </w:pPr>
            <w:r>
              <w:rPr>
                <w:sz w:val="18"/>
                <w:szCs w:val="18"/>
              </w:rPr>
              <w:t>0.08</w:t>
            </w:r>
          </w:p>
        </w:tc>
      </w:tr>
      <w:tr w14:paraId="3B402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1790A73">
            <w:pPr>
              <w:jc w:val="center"/>
              <w:rPr>
                <w:sz w:val="18"/>
                <w:szCs w:val="18"/>
              </w:rPr>
            </w:pPr>
            <w:r>
              <w:rPr>
                <w:sz w:val="18"/>
                <w:szCs w:val="18"/>
              </w:rPr>
              <w:t>333</w:t>
            </w:r>
          </w:p>
        </w:tc>
        <w:tc>
          <w:tcPr>
            <w:vAlign w:val="center"/>
          </w:tcPr>
          <w:p w14:paraId="5EBBE9EF">
            <w:pPr>
              <w:jc w:val="center"/>
              <w:rPr>
                <w:sz w:val="18"/>
                <w:szCs w:val="18"/>
              </w:rPr>
            </w:pPr>
            <w:r>
              <w:rPr>
                <w:sz w:val="18"/>
                <w:szCs w:val="18"/>
              </w:rPr>
              <w:t>2400</w:t>
            </w:r>
          </w:p>
        </w:tc>
        <w:tc>
          <w:tcPr>
            <w:vAlign w:val="center"/>
          </w:tcPr>
          <w:p w14:paraId="52CBB95D">
            <w:pPr>
              <w:jc w:val="center"/>
              <w:rPr>
                <w:sz w:val="18"/>
                <w:szCs w:val="18"/>
              </w:rPr>
            </w:pPr>
            <w:r>
              <w:rPr>
                <w:sz w:val="18"/>
                <w:szCs w:val="18"/>
              </w:rPr>
              <w:t>1500</w:t>
            </w:r>
          </w:p>
        </w:tc>
        <w:tc>
          <w:tcPr>
            <w:vAlign w:val="center"/>
          </w:tcPr>
          <w:p w14:paraId="4CD3245A">
            <w:pPr>
              <w:jc w:val="center"/>
              <w:rPr>
                <w:sz w:val="18"/>
                <w:szCs w:val="18"/>
              </w:rPr>
            </w:pPr>
            <w:r>
              <w:rPr>
                <w:sz w:val="18"/>
                <w:szCs w:val="18"/>
              </w:rPr>
              <w:t>单层铝窗</w:t>
            </w:r>
          </w:p>
        </w:tc>
        <w:tc>
          <w:tcPr>
            <w:vAlign w:val="center"/>
          </w:tcPr>
          <w:p w14:paraId="2BDA8050">
            <w:pPr>
              <w:jc w:val="center"/>
              <w:rPr>
                <w:sz w:val="18"/>
                <w:szCs w:val="18"/>
              </w:rPr>
            </w:pPr>
            <w:r>
              <w:rPr>
                <w:sz w:val="18"/>
                <w:szCs w:val="18"/>
              </w:rPr>
              <w:t>普通玻璃</w:t>
            </w:r>
          </w:p>
        </w:tc>
        <w:tc>
          <w:tcPr>
            <w:vAlign w:val="center"/>
          </w:tcPr>
          <w:p w14:paraId="2A7A6F1E">
            <w:pPr>
              <w:jc w:val="center"/>
              <w:rPr>
                <w:sz w:val="18"/>
                <w:szCs w:val="18"/>
              </w:rPr>
            </w:pPr>
            <w:r>
              <w:rPr>
                <w:sz w:val="18"/>
                <w:szCs w:val="18"/>
              </w:rPr>
              <w:t>0.89</w:t>
            </w:r>
          </w:p>
        </w:tc>
        <w:tc>
          <w:tcPr>
            <w:vAlign w:val="center"/>
          </w:tcPr>
          <w:p w14:paraId="2D9BD2CF">
            <w:pPr>
              <w:jc w:val="center"/>
              <w:rPr>
                <w:sz w:val="18"/>
                <w:szCs w:val="18"/>
              </w:rPr>
            </w:pPr>
            <w:r>
              <w:rPr>
                <w:sz w:val="18"/>
                <w:szCs w:val="18"/>
              </w:rPr>
              <w:t>0.08</w:t>
            </w:r>
          </w:p>
        </w:tc>
      </w:tr>
      <w:tr w14:paraId="3FDEDF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103D16F">
            <w:pPr>
              <w:jc w:val="center"/>
              <w:rPr>
                <w:sz w:val="18"/>
                <w:szCs w:val="18"/>
              </w:rPr>
            </w:pPr>
            <w:r>
              <w:rPr>
                <w:sz w:val="18"/>
                <w:szCs w:val="18"/>
              </w:rPr>
              <w:t>777</w:t>
            </w:r>
          </w:p>
        </w:tc>
        <w:tc>
          <w:tcPr>
            <w:vAlign w:val="center"/>
          </w:tcPr>
          <w:p w14:paraId="4D711EB3">
            <w:pPr>
              <w:jc w:val="center"/>
              <w:rPr>
                <w:sz w:val="18"/>
                <w:szCs w:val="18"/>
              </w:rPr>
            </w:pPr>
            <w:r>
              <w:rPr>
                <w:sz w:val="18"/>
                <w:szCs w:val="18"/>
              </w:rPr>
              <w:t>2400</w:t>
            </w:r>
          </w:p>
        </w:tc>
        <w:tc>
          <w:tcPr>
            <w:vAlign w:val="center"/>
          </w:tcPr>
          <w:p w14:paraId="60E3DCC6">
            <w:pPr>
              <w:jc w:val="center"/>
              <w:rPr>
                <w:sz w:val="18"/>
                <w:szCs w:val="18"/>
              </w:rPr>
            </w:pPr>
            <w:r>
              <w:rPr>
                <w:sz w:val="18"/>
                <w:szCs w:val="18"/>
              </w:rPr>
              <w:t>1500</w:t>
            </w:r>
          </w:p>
        </w:tc>
        <w:tc>
          <w:tcPr>
            <w:vAlign w:val="center"/>
          </w:tcPr>
          <w:p w14:paraId="4177DD5A">
            <w:pPr>
              <w:jc w:val="center"/>
              <w:rPr>
                <w:sz w:val="18"/>
                <w:szCs w:val="18"/>
              </w:rPr>
            </w:pPr>
            <w:r>
              <w:rPr>
                <w:sz w:val="18"/>
                <w:szCs w:val="18"/>
              </w:rPr>
              <w:t>单层铝窗</w:t>
            </w:r>
          </w:p>
        </w:tc>
        <w:tc>
          <w:tcPr>
            <w:vAlign w:val="center"/>
          </w:tcPr>
          <w:p w14:paraId="52281EEC">
            <w:pPr>
              <w:jc w:val="center"/>
              <w:rPr>
                <w:sz w:val="18"/>
                <w:szCs w:val="18"/>
              </w:rPr>
            </w:pPr>
            <w:r>
              <w:rPr>
                <w:sz w:val="18"/>
                <w:szCs w:val="18"/>
              </w:rPr>
              <w:t>普通玻璃</w:t>
            </w:r>
          </w:p>
        </w:tc>
        <w:tc>
          <w:tcPr>
            <w:vAlign w:val="center"/>
          </w:tcPr>
          <w:p w14:paraId="5510165E">
            <w:pPr>
              <w:jc w:val="center"/>
              <w:rPr>
                <w:sz w:val="18"/>
                <w:szCs w:val="18"/>
              </w:rPr>
            </w:pPr>
            <w:r>
              <w:rPr>
                <w:sz w:val="18"/>
                <w:szCs w:val="18"/>
              </w:rPr>
              <w:t>0.89</w:t>
            </w:r>
          </w:p>
        </w:tc>
        <w:tc>
          <w:tcPr>
            <w:vAlign w:val="center"/>
          </w:tcPr>
          <w:p w14:paraId="6E6372C9">
            <w:pPr>
              <w:jc w:val="center"/>
              <w:rPr>
                <w:sz w:val="18"/>
                <w:szCs w:val="18"/>
              </w:rPr>
            </w:pPr>
            <w:r>
              <w:rPr>
                <w:sz w:val="18"/>
                <w:szCs w:val="18"/>
              </w:rPr>
              <w:t>0.08</w:t>
            </w:r>
          </w:p>
        </w:tc>
      </w:tr>
      <w:tr w14:paraId="18D45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91A81BE">
            <w:pPr>
              <w:jc w:val="center"/>
              <w:rPr>
                <w:sz w:val="18"/>
                <w:szCs w:val="18"/>
              </w:rPr>
            </w:pPr>
            <w:r>
              <w:rPr>
                <w:sz w:val="18"/>
                <w:szCs w:val="18"/>
              </w:rPr>
              <w:t>888</w:t>
            </w:r>
          </w:p>
        </w:tc>
        <w:tc>
          <w:tcPr>
            <w:vAlign w:val="center"/>
          </w:tcPr>
          <w:p w14:paraId="72FC4F64">
            <w:pPr>
              <w:jc w:val="center"/>
              <w:rPr>
                <w:sz w:val="18"/>
                <w:szCs w:val="18"/>
              </w:rPr>
            </w:pPr>
            <w:r>
              <w:rPr>
                <w:sz w:val="18"/>
                <w:szCs w:val="18"/>
              </w:rPr>
              <w:t>2400</w:t>
            </w:r>
          </w:p>
        </w:tc>
        <w:tc>
          <w:tcPr>
            <w:vAlign w:val="center"/>
          </w:tcPr>
          <w:p w14:paraId="032D666D">
            <w:pPr>
              <w:jc w:val="center"/>
              <w:rPr>
                <w:sz w:val="18"/>
                <w:szCs w:val="18"/>
              </w:rPr>
            </w:pPr>
            <w:r>
              <w:rPr>
                <w:sz w:val="18"/>
                <w:szCs w:val="18"/>
              </w:rPr>
              <w:t>1500</w:t>
            </w:r>
          </w:p>
        </w:tc>
        <w:tc>
          <w:tcPr>
            <w:vAlign w:val="center"/>
          </w:tcPr>
          <w:p w14:paraId="1A813B75">
            <w:pPr>
              <w:jc w:val="center"/>
              <w:rPr>
                <w:sz w:val="18"/>
                <w:szCs w:val="18"/>
              </w:rPr>
            </w:pPr>
            <w:r>
              <w:rPr>
                <w:sz w:val="18"/>
                <w:szCs w:val="18"/>
              </w:rPr>
              <w:t>单层铝窗</w:t>
            </w:r>
          </w:p>
        </w:tc>
        <w:tc>
          <w:tcPr>
            <w:vAlign w:val="center"/>
          </w:tcPr>
          <w:p w14:paraId="47F86CD3">
            <w:pPr>
              <w:jc w:val="center"/>
              <w:rPr>
                <w:sz w:val="18"/>
                <w:szCs w:val="18"/>
              </w:rPr>
            </w:pPr>
            <w:r>
              <w:rPr>
                <w:sz w:val="18"/>
                <w:szCs w:val="18"/>
              </w:rPr>
              <w:t>普通玻璃</w:t>
            </w:r>
          </w:p>
        </w:tc>
        <w:tc>
          <w:tcPr>
            <w:vAlign w:val="center"/>
          </w:tcPr>
          <w:p w14:paraId="4C800509">
            <w:pPr>
              <w:jc w:val="center"/>
              <w:rPr>
                <w:sz w:val="18"/>
                <w:szCs w:val="18"/>
              </w:rPr>
            </w:pPr>
            <w:r>
              <w:rPr>
                <w:sz w:val="18"/>
                <w:szCs w:val="18"/>
              </w:rPr>
              <w:t>0.89</w:t>
            </w:r>
          </w:p>
        </w:tc>
        <w:tc>
          <w:tcPr>
            <w:vAlign w:val="center"/>
          </w:tcPr>
          <w:p w14:paraId="2EBAE241">
            <w:pPr>
              <w:jc w:val="center"/>
              <w:rPr>
                <w:sz w:val="18"/>
                <w:szCs w:val="18"/>
              </w:rPr>
            </w:pPr>
            <w:r>
              <w:rPr>
                <w:sz w:val="18"/>
                <w:szCs w:val="18"/>
              </w:rPr>
              <w:t>0.08</w:t>
            </w:r>
          </w:p>
        </w:tc>
      </w:tr>
      <w:tr w14:paraId="58621E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A515835">
            <w:pPr>
              <w:jc w:val="center"/>
              <w:rPr>
                <w:sz w:val="18"/>
                <w:szCs w:val="18"/>
              </w:rPr>
            </w:pPr>
            <w:r>
              <w:rPr>
                <w:sz w:val="18"/>
                <w:szCs w:val="18"/>
              </w:rPr>
              <w:t>C1215</w:t>
            </w:r>
          </w:p>
        </w:tc>
        <w:tc>
          <w:tcPr>
            <w:vAlign w:val="center"/>
          </w:tcPr>
          <w:p w14:paraId="3AC42D27">
            <w:pPr>
              <w:jc w:val="center"/>
              <w:rPr>
                <w:sz w:val="18"/>
                <w:szCs w:val="18"/>
              </w:rPr>
            </w:pPr>
            <w:r>
              <w:rPr>
                <w:sz w:val="18"/>
                <w:szCs w:val="18"/>
              </w:rPr>
              <w:t>1500</w:t>
            </w:r>
          </w:p>
        </w:tc>
        <w:tc>
          <w:tcPr>
            <w:vAlign w:val="center"/>
          </w:tcPr>
          <w:p w14:paraId="4F8B8C27">
            <w:pPr>
              <w:jc w:val="center"/>
              <w:rPr>
                <w:sz w:val="18"/>
                <w:szCs w:val="18"/>
              </w:rPr>
            </w:pPr>
            <w:r>
              <w:rPr>
                <w:sz w:val="18"/>
                <w:szCs w:val="18"/>
              </w:rPr>
              <w:t>1500</w:t>
            </w:r>
          </w:p>
        </w:tc>
        <w:tc>
          <w:tcPr>
            <w:vAlign w:val="center"/>
          </w:tcPr>
          <w:p w14:paraId="17B852EF">
            <w:pPr>
              <w:jc w:val="center"/>
              <w:rPr>
                <w:sz w:val="18"/>
                <w:szCs w:val="18"/>
              </w:rPr>
            </w:pPr>
            <w:r>
              <w:rPr>
                <w:sz w:val="18"/>
                <w:szCs w:val="18"/>
              </w:rPr>
              <w:t>单层铝窗</w:t>
            </w:r>
          </w:p>
        </w:tc>
        <w:tc>
          <w:tcPr>
            <w:vAlign w:val="center"/>
          </w:tcPr>
          <w:p w14:paraId="44B85FA5">
            <w:pPr>
              <w:jc w:val="center"/>
              <w:rPr>
                <w:sz w:val="18"/>
                <w:szCs w:val="18"/>
              </w:rPr>
            </w:pPr>
            <w:r>
              <w:rPr>
                <w:sz w:val="18"/>
                <w:szCs w:val="18"/>
              </w:rPr>
              <w:t>普通玻璃</w:t>
            </w:r>
          </w:p>
        </w:tc>
        <w:tc>
          <w:tcPr>
            <w:vAlign w:val="center"/>
          </w:tcPr>
          <w:p w14:paraId="171F4ED9">
            <w:pPr>
              <w:jc w:val="center"/>
              <w:rPr>
                <w:sz w:val="18"/>
                <w:szCs w:val="18"/>
              </w:rPr>
            </w:pPr>
            <w:r>
              <w:rPr>
                <w:sz w:val="18"/>
                <w:szCs w:val="18"/>
              </w:rPr>
              <w:t>0.89</w:t>
            </w:r>
          </w:p>
        </w:tc>
        <w:tc>
          <w:tcPr>
            <w:vAlign w:val="center"/>
          </w:tcPr>
          <w:p w14:paraId="2662908D">
            <w:pPr>
              <w:jc w:val="center"/>
              <w:rPr>
                <w:sz w:val="18"/>
                <w:szCs w:val="18"/>
              </w:rPr>
            </w:pPr>
            <w:r>
              <w:rPr>
                <w:sz w:val="18"/>
                <w:szCs w:val="18"/>
              </w:rPr>
              <w:t>0.08</w:t>
            </w:r>
          </w:p>
        </w:tc>
      </w:tr>
      <w:tr w14:paraId="28AF74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68C7550">
            <w:pPr>
              <w:jc w:val="center"/>
              <w:rPr>
                <w:sz w:val="18"/>
                <w:szCs w:val="18"/>
              </w:rPr>
            </w:pPr>
            <w:r>
              <w:rPr>
                <w:sz w:val="18"/>
                <w:szCs w:val="18"/>
              </w:rPr>
              <w:t>C1515</w:t>
            </w:r>
          </w:p>
        </w:tc>
        <w:tc>
          <w:tcPr>
            <w:vAlign w:val="center"/>
          </w:tcPr>
          <w:p w14:paraId="3BCB9A97">
            <w:pPr>
              <w:jc w:val="center"/>
              <w:rPr>
                <w:sz w:val="18"/>
                <w:szCs w:val="18"/>
              </w:rPr>
            </w:pPr>
            <w:r>
              <w:rPr>
                <w:sz w:val="18"/>
                <w:szCs w:val="18"/>
              </w:rPr>
              <w:t>1500</w:t>
            </w:r>
          </w:p>
        </w:tc>
        <w:tc>
          <w:tcPr>
            <w:vAlign w:val="center"/>
          </w:tcPr>
          <w:p w14:paraId="15B7EC2A">
            <w:pPr>
              <w:jc w:val="center"/>
              <w:rPr>
                <w:sz w:val="18"/>
                <w:szCs w:val="18"/>
              </w:rPr>
            </w:pPr>
            <w:r>
              <w:rPr>
                <w:sz w:val="18"/>
                <w:szCs w:val="18"/>
              </w:rPr>
              <w:t>1500</w:t>
            </w:r>
          </w:p>
        </w:tc>
        <w:tc>
          <w:tcPr>
            <w:vAlign w:val="center"/>
          </w:tcPr>
          <w:p w14:paraId="679FCCD3">
            <w:pPr>
              <w:jc w:val="center"/>
              <w:rPr>
                <w:sz w:val="18"/>
                <w:szCs w:val="18"/>
              </w:rPr>
            </w:pPr>
            <w:r>
              <w:rPr>
                <w:sz w:val="18"/>
                <w:szCs w:val="18"/>
              </w:rPr>
              <w:t>单层铝窗</w:t>
            </w:r>
          </w:p>
        </w:tc>
        <w:tc>
          <w:tcPr>
            <w:vAlign w:val="center"/>
          </w:tcPr>
          <w:p w14:paraId="65691BD2">
            <w:pPr>
              <w:jc w:val="center"/>
              <w:rPr>
                <w:sz w:val="18"/>
                <w:szCs w:val="18"/>
              </w:rPr>
            </w:pPr>
            <w:r>
              <w:rPr>
                <w:sz w:val="18"/>
                <w:szCs w:val="18"/>
              </w:rPr>
              <w:t>普通玻璃</w:t>
            </w:r>
          </w:p>
        </w:tc>
        <w:tc>
          <w:tcPr>
            <w:vAlign w:val="center"/>
          </w:tcPr>
          <w:p w14:paraId="07B05C2E">
            <w:pPr>
              <w:jc w:val="center"/>
              <w:rPr>
                <w:sz w:val="18"/>
                <w:szCs w:val="18"/>
              </w:rPr>
            </w:pPr>
            <w:r>
              <w:rPr>
                <w:sz w:val="18"/>
                <w:szCs w:val="18"/>
              </w:rPr>
              <w:t>0.89</w:t>
            </w:r>
          </w:p>
        </w:tc>
        <w:tc>
          <w:tcPr>
            <w:vAlign w:val="center"/>
          </w:tcPr>
          <w:p w14:paraId="10BAB36E">
            <w:pPr>
              <w:jc w:val="center"/>
              <w:rPr>
                <w:sz w:val="18"/>
                <w:szCs w:val="18"/>
              </w:rPr>
            </w:pPr>
            <w:r>
              <w:rPr>
                <w:sz w:val="18"/>
                <w:szCs w:val="18"/>
              </w:rPr>
              <w:t>0.08</w:t>
            </w:r>
          </w:p>
        </w:tc>
      </w:tr>
      <w:tr w14:paraId="52387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1CD794D">
            <w:pPr>
              <w:jc w:val="center"/>
              <w:rPr>
                <w:sz w:val="18"/>
                <w:szCs w:val="18"/>
              </w:rPr>
            </w:pPr>
            <w:r>
              <w:rPr>
                <w:sz w:val="18"/>
                <w:szCs w:val="18"/>
              </w:rPr>
              <w:t>C1815</w:t>
            </w:r>
          </w:p>
        </w:tc>
        <w:tc>
          <w:tcPr>
            <w:vAlign w:val="center"/>
          </w:tcPr>
          <w:p w14:paraId="2521BD93">
            <w:pPr>
              <w:jc w:val="center"/>
              <w:rPr>
                <w:sz w:val="18"/>
                <w:szCs w:val="18"/>
              </w:rPr>
            </w:pPr>
            <w:r>
              <w:rPr>
                <w:sz w:val="18"/>
                <w:szCs w:val="18"/>
              </w:rPr>
              <w:t>4000</w:t>
            </w:r>
          </w:p>
        </w:tc>
        <w:tc>
          <w:tcPr>
            <w:vAlign w:val="center"/>
          </w:tcPr>
          <w:p w14:paraId="01F40932">
            <w:pPr>
              <w:jc w:val="center"/>
              <w:rPr>
                <w:sz w:val="18"/>
                <w:szCs w:val="18"/>
              </w:rPr>
            </w:pPr>
            <w:r>
              <w:rPr>
                <w:sz w:val="18"/>
                <w:szCs w:val="18"/>
              </w:rPr>
              <w:t>1500</w:t>
            </w:r>
          </w:p>
        </w:tc>
        <w:tc>
          <w:tcPr>
            <w:vAlign w:val="center"/>
          </w:tcPr>
          <w:p w14:paraId="055D225B">
            <w:pPr>
              <w:jc w:val="center"/>
              <w:rPr>
                <w:sz w:val="18"/>
                <w:szCs w:val="18"/>
              </w:rPr>
            </w:pPr>
            <w:r>
              <w:rPr>
                <w:sz w:val="18"/>
                <w:szCs w:val="18"/>
              </w:rPr>
              <w:t>单层铝窗</w:t>
            </w:r>
          </w:p>
        </w:tc>
        <w:tc>
          <w:tcPr>
            <w:vAlign w:val="center"/>
          </w:tcPr>
          <w:p w14:paraId="007EA4B7">
            <w:pPr>
              <w:jc w:val="center"/>
              <w:rPr>
                <w:sz w:val="18"/>
                <w:szCs w:val="18"/>
              </w:rPr>
            </w:pPr>
            <w:r>
              <w:rPr>
                <w:sz w:val="18"/>
                <w:szCs w:val="18"/>
              </w:rPr>
              <w:t>普通玻璃</w:t>
            </w:r>
          </w:p>
        </w:tc>
        <w:tc>
          <w:tcPr>
            <w:vAlign w:val="center"/>
          </w:tcPr>
          <w:p w14:paraId="132F823F">
            <w:pPr>
              <w:jc w:val="center"/>
              <w:rPr>
                <w:sz w:val="18"/>
                <w:szCs w:val="18"/>
              </w:rPr>
            </w:pPr>
            <w:r>
              <w:rPr>
                <w:sz w:val="18"/>
                <w:szCs w:val="18"/>
              </w:rPr>
              <w:t>0.89</w:t>
            </w:r>
          </w:p>
        </w:tc>
        <w:tc>
          <w:tcPr>
            <w:vAlign w:val="center"/>
          </w:tcPr>
          <w:p w14:paraId="612D0D58">
            <w:pPr>
              <w:jc w:val="center"/>
              <w:rPr>
                <w:sz w:val="18"/>
                <w:szCs w:val="18"/>
              </w:rPr>
            </w:pPr>
            <w:r>
              <w:rPr>
                <w:sz w:val="18"/>
                <w:szCs w:val="18"/>
              </w:rPr>
              <w:t>0.08</w:t>
            </w:r>
          </w:p>
        </w:tc>
      </w:tr>
    </w:tbl>
    <w:p w14:paraId="1A530226">
      <w:pPr>
        <w:pStyle w:val="3"/>
        <w:rPr>
          <w:rFonts w:hint="eastAsia"/>
          <w:sz w:val="18"/>
          <w:szCs w:val="18"/>
          <w:lang w:val="en-US"/>
        </w:rPr>
      </w:pPr>
      <w:r>
        <w:rPr>
          <w:rFonts w:hint="eastAsia"/>
          <w:sz w:val="18"/>
          <w:szCs w:val="18"/>
          <w:lang w:val="en-US"/>
        </w:rPr>
        <w:t>注：计算考虑了外窗玻璃的污染折减系数影响，系数取值0.9。</w:t>
      </w:r>
    </w:p>
    <w:p w14:paraId="5FA6518D">
      <w:pPr>
        <w:pStyle w:val="3"/>
        <w:rPr>
          <w:rFonts w:hint="eastAsia"/>
          <w:sz w:val="18"/>
          <w:szCs w:val="18"/>
          <w:lang w:val="en-US"/>
        </w:rPr>
      </w:pPr>
    </w:p>
    <w:p w14:paraId="7D863980">
      <w:pPr>
        <w:pStyle w:val="5"/>
        <w:rPr>
          <w:rFonts w:hint="eastAsia"/>
        </w:rPr>
      </w:pPr>
      <w:bookmarkStart w:id="83" w:name="_Toc30462"/>
      <w:bookmarkStart w:id="84" w:name="幕墙"/>
      <w:r>
        <w:rPr>
          <w:rFonts w:hint="eastAsia"/>
        </w:rPr>
        <w:t>玻璃幕墙</w:t>
      </w:r>
      <w:bookmarkEnd w:id="83"/>
    </w:p>
    <w:bookmarkEnd w:id="84"/>
    <w:tbl>
      <w:tblPr>
        <w:tblStyle w:val="23"/>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281CA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3181AAF">
            <w:pPr>
              <w:jc w:val="center"/>
              <w:rPr>
                <w:sz w:val="18"/>
                <w:szCs w:val="18"/>
              </w:rPr>
            </w:pPr>
            <w:r>
              <w:rPr>
                <w:sz w:val="18"/>
                <w:szCs w:val="18"/>
              </w:rPr>
              <w:t>门窗编号</w:t>
            </w:r>
          </w:p>
        </w:tc>
        <w:tc>
          <w:tcPr>
            <w:shd w:val="clear" w:color="auto" w:fill="E6E6E6"/>
            <w:vAlign w:val="center"/>
          </w:tcPr>
          <w:p w14:paraId="2DD882AA">
            <w:pPr>
              <w:jc w:val="center"/>
              <w:rPr>
                <w:sz w:val="18"/>
                <w:szCs w:val="18"/>
              </w:rPr>
            </w:pPr>
            <w:r>
              <w:rPr>
                <w:sz w:val="18"/>
                <w:szCs w:val="18"/>
              </w:rPr>
              <w:t>宽度(mm)</w:t>
            </w:r>
          </w:p>
        </w:tc>
        <w:tc>
          <w:tcPr>
            <w:shd w:val="clear" w:color="auto" w:fill="E6E6E6"/>
            <w:vAlign w:val="center"/>
          </w:tcPr>
          <w:p w14:paraId="63DA1E1D">
            <w:pPr>
              <w:jc w:val="center"/>
              <w:rPr>
                <w:sz w:val="18"/>
                <w:szCs w:val="18"/>
              </w:rPr>
            </w:pPr>
            <w:r>
              <w:rPr>
                <w:sz w:val="18"/>
                <w:szCs w:val="18"/>
              </w:rPr>
              <w:t>高度(mm)</w:t>
            </w:r>
          </w:p>
        </w:tc>
        <w:tc>
          <w:tcPr>
            <w:shd w:val="clear" w:color="auto" w:fill="E6E6E6"/>
            <w:vAlign w:val="center"/>
          </w:tcPr>
          <w:p w14:paraId="4F277432">
            <w:pPr>
              <w:jc w:val="center"/>
              <w:rPr>
                <w:sz w:val="18"/>
                <w:szCs w:val="18"/>
              </w:rPr>
            </w:pPr>
            <w:r>
              <w:rPr>
                <w:sz w:val="18"/>
                <w:szCs w:val="18"/>
              </w:rPr>
              <w:t>窗框类型</w:t>
            </w:r>
          </w:p>
        </w:tc>
        <w:tc>
          <w:tcPr>
            <w:shd w:val="clear" w:color="auto" w:fill="E6E6E6"/>
            <w:vAlign w:val="center"/>
          </w:tcPr>
          <w:p w14:paraId="637F30B2">
            <w:pPr>
              <w:jc w:val="center"/>
              <w:rPr>
                <w:sz w:val="18"/>
                <w:szCs w:val="18"/>
              </w:rPr>
            </w:pPr>
            <w:r>
              <w:rPr>
                <w:sz w:val="18"/>
                <w:szCs w:val="18"/>
              </w:rPr>
              <w:t>玻璃类型</w:t>
            </w:r>
          </w:p>
        </w:tc>
        <w:tc>
          <w:tcPr>
            <w:shd w:val="clear" w:color="auto" w:fill="E6E6E6"/>
            <w:vAlign w:val="center"/>
          </w:tcPr>
          <w:p w14:paraId="69B0B0EC">
            <w:pPr>
              <w:jc w:val="center"/>
              <w:rPr>
                <w:sz w:val="18"/>
                <w:szCs w:val="18"/>
              </w:rPr>
            </w:pPr>
            <w:r>
              <w:rPr>
                <w:sz w:val="18"/>
                <w:szCs w:val="18"/>
              </w:rPr>
              <w:t>可见光透射比</w:t>
            </w:r>
          </w:p>
        </w:tc>
        <w:tc>
          <w:tcPr>
            <w:shd w:val="clear" w:color="auto" w:fill="E6E6E6"/>
            <w:vAlign w:val="center"/>
          </w:tcPr>
          <w:p w14:paraId="2BCCA207">
            <w:pPr>
              <w:jc w:val="center"/>
              <w:rPr>
                <w:sz w:val="18"/>
                <w:szCs w:val="18"/>
              </w:rPr>
            </w:pPr>
            <w:r>
              <w:rPr>
                <w:sz w:val="18"/>
                <w:szCs w:val="18"/>
              </w:rPr>
              <w:t>玻璃反射比</w:t>
            </w:r>
          </w:p>
        </w:tc>
      </w:tr>
      <w:tr w14:paraId="3BD42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1DE0E9B">
            <w:pPr>
              <w:jc w:val="center"/>
              <w:rPr>
                <w:sz w:val="18"/>
                <w:szCs w:val="18"/>
              </w:rPr>
            </w:pPr>
          </w:p>
        </w:tc>
        <w:tc>
          <w:tcPr>
            <w:vAlign w:val="center"/>
          </w:tcPr>
          <w:p w14:paraId="276EC7C9">
            <w:pPr>
              <w:jc w:val="center"/>
              <w:rPr>
                <w:sz w:val="18"/>
                <w:szCs w:val="18"/>
              </w:rPr>
            </w:pPr>
            <w:r>
              <w:rPr>
                <w:sz w:val="18"/>
                <w:szCs w:val="18"/>
              </w:rPr>
              <w:t>3000</w:t>
            </w:r>
          </w:p>
        </w:tc>
        <w:tc>
          <w:tcPr>
            <w:vAlign w:val="center"/>
          </w:tcPr>
          <w:p w14:paraId="3488EDB4">
            <w:pPr>
              <w:jc w:val="center"/>
              <w:rPr>
                <w:sz w:val="18"/>
                <w:szCs w:val="18"/>
              </w:rPr>
            </w:pPr>
            <w:r>
              <w:rPr>
                <w:sz w:val="18"/>
                <w:szCs w:val="18"/>
              </w:rPr>
              <w:t>3000</w:t>
            </w:r>
          </w:p>
        </w:tc>
        <w:tc>
          <w:tcPr>
            <w:vAlign w:val="center"/>
          </w:tcPr>
          <w:p w14:paraId="65D02CE4">
            <w:pPr>
              <w:jc w:val="center"/>
              <w:rPr>
                <w:sz w:val="18"/>
                <w:szCs w:val="18"/>
              </w:rPr>
            </w:pPr>
            <w:r>
              <w:rPr>
                <w:sz w:val="18"/>
                <w:szCs w:val="18"/>
              </w:rPr>
              <w:t>单层铝窗</w:t>
            </w:r>
          </w:p>
        </w:tc>
        <w:tc>
          <w:tcPr>
            <w:vAlign w:val="center"/>
          </w:tcPr>
          <w:p w14:paraId="28F0B1EF">
            <w:pPr>
              <w:jc w:val="center"/>
              <w:rPr>
                <w:sz w:val="18"/>
                <w:szCs w:val="18"/>
              </w:rPr>
            </w:pPr>
            <w:r>
              <w:rPr>
                <w:sz w:val="18"/>
                <w:szCs w:val="18"/>
              </w:rPr>
              <w:t>普通玻璃</w:t>
            </w:r>
          </w:p>
        </w:tc>
        <w:tc>
          <w:tcPr>
            <w:vAlign w:val="center"/>
          </w:tcPr>
          <w:p w14:paraId="0B559187">
            <w:pPr>
              <w:jc w:val="center"/>
              <w:rPr>
                <w:sz w:val="18"/>
                <w:szCs w:val="18"/>
              </w:rPr>
            </w:pPr>
            <w:r>
              <w:rPr>
                <w:sz w:val="18"/>
                <w:szCs w:val="18"/>
              </w:rPr>
              <w:t>0.89</w:t>
            </w:r>
          </w:p>
        </w:tc>
        <w:tc>
          <w:tcPr>
            <w:vAlign w:val="center"/>
          </w:tcPr>
          <w:p w14:paraId="6040078A">
            <w:pPr>
              <w:jc w:val="center"/>
              <w:rPr>
                <w:sz w:val="18"/>
                <w:szCs w:val="18"/>
              </w:rPr>
            </w:pPr>
            <w:r>
              <w:rPr>
                <w:sz w:val="18"/>
                <w:szCs w:val="18"/>
              </w:rPr>
              <w:t>0.08</w:t>
            </w:r>
          </w:p>
        </w:tc>
      </w:tr>
    </w:tbl>
    <w:p w14:paraId="2158F191">
      <w:pPr>
        <w:pStyle w:val="3"/>
        <w:rPr>
          <w:rFonts w:hint="eastAsia"/>
          <w:sz w:val="18"/>
          <w:szCs w:val="18"/>
          <w:lang w:val="en-US"/>
        </w:rPr>
      </w:pPr>
      <w:r>
        <w:rPr>
          <w:rFonts w:hint="eastAsia"/>
          <w:sz w:val="18"/>
          <w:szCs w:val="18"/>
          <w:lang w:val="en-US"/>
        </w:rPr>
        <w:t>注：计算考虑了外窗玻璃的污染折减系数影响，系数取值0.9。</w:t>
      </w:r>
    </w:p>
    <w:p w14:paraId="7EB8C560">
      <w:pPr>
        <w:pStyle w:val="3"/>
        <w:rPr>
          <w:rFonts w:hint="eastAsia"/>
          <w:sz w:val="18"/>
          <w:szCs w:val="18"/>
          <w:lang w:val="en-US"/>
        </w:rPr>
      </w:pPr>
    </w:p>
    <w:p w14:paraId="0315A1DD">
      <w:pPr>
        <w:pStyle w:val="3"/>
        <w:rPr>
          <w:rFonts w:hint="eastAsia"/>
          <w:sz w:val="18"/>
          <w:szCs w:val="18"/>
          <w:lang w:val="en-US"/>
        </w:rPr>
      </w:pPr>
    </w:p>
    <w:p w14:paraId="426C8451">
      <w:pPr>
        <w:pStyle w:val="3"/>
        <w:rPr>
          <w:rFonts w:hint="eastAsia"/>
          <w:sz w:val="18"/>
          <w:szCs w:val="18"/>
          <w:lang w:val="en-US"/>
        </w:rPr>
      </w:pPr>
      <w:bookmarkStart w:id="85" w:name="窗污染折减系数"/>
      <w:bookmarkEnd w:id="85"/>
    </w:p>
    <w:p w14:paraId="0A3DB5F2">
      <w:pPr>
        <w:pStyle w:val="2"/>
        <w:rPr>
          <w:rFonts w:hint="eastAsia" w:ascii="微软雅黑" w:hAnsi="微软雅黑"/>
        </w:rPr>
      </w:pPr>
      <w:bookmarkStart w:id="86" w:name="_Toc21865"/>
      <w:r>
        <w:rPr>
          <w:rFonts w:hint="eastAsia" w:ascii="微软雅黑" w:hAnsi="微软雅黑"/>
        </w:rPr>
        <w:t>动态采光达标统计</w:t>
      </w:r>
      <w:bookmarkEnd w:id="86"/>
    </w:p>
    <w:p w14:paraId="1E94D57A">
      <w:pPr>
        <w:pStyle w:val="3"/>
        <w:ind w:firstLine="420" w:firstLineChars="200"/>
        <w:rPr>
          <w:rFonts w:hint="eastAsia"/>
        </w:rPr>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3"/>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855"/>
        <w:gridCol w:w="1304"/>
        <w:gridCol w:w="111"/>
        <w:gridCol w:w="1369"/>
        <w:gridCol w:w="46"/>
        <w:gridCol w:w="621"/>
        <w:gridCol w:w="667"/>
        <w:gridCol w:w="127"/>
        <w:gridCol w:w="812"/>
        <w:gridCol w:w="939"/>
        <w:gridCol w:w="229"/>
        <w:gridCol w:w="710"/>
        <w:gridCol w:w="837"/>
        <w:gridCol w:w="3"/>
      </w:tblGrid>
      <w:tr w14:paraId="6DD7E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5F4A985">
            <w:pPr>
              <w:jc w:val="center"/>
              <w:rPr>
                <w:sz w:val="18"/>
                <w:szCs w:val="18"/>
              </w:rPr>
            </w:pPr>
            <w:r>
              <w:rPr>
                <w:sz w:val="18"/>
                <w:szCs w:val="18"/>
              </w:rPr>
              <w:t>楼层</w:t>
            </w:r>
          </w:p>
        </w:tc>
        <w:tc>
          <w:tcPr>
            <w:gridSpan w:val="2"/>
            <w:shd w:val="clear" w:color="auto" w:fill="E6E6E6"/>
            <w:vAlign w:val="center"/>
          </w:tcPr>
          <w:p w14:paraId="4F060DE1">
            <w:pPr>
              <w:jc w:val="center"/>
              <w:rPr>
                <w:sz w:val="18"/>
                <w:szCs w:val="18"/>
              </w:rPr>
            </w:pPr>
            <w:r>
              <w:rPr>
                <w:sz w:val="18"/>
                <w:szCs w:val="18"/>
              </w:rPr>
              <w:t>房间</w:t>
            </w:r>
          </w:p>
        </w:tc>
        <w:tc>
          <w:tcPr>
            <w:gridSpan w:val="2"/>
            <w:shd w:val="clear" w:color="auto" w:fill="E6E6E6"/>
            <w:vAlign w:val="center"/>
          </w:tcPr>
          <w:p w14:paraId="528B1565">
            <w:pPr>
              <w:jc w:val="center"/>
              <w:rPr>
                <w:sz w:val="18"/>
                <w:szCs w:val="18"/>
              </w:rPr>
            </w:pPr>
            <w:r>
              <w:rPr>
                <w:sz w:val="18"/>
                <w:szCs w:val="18"/>
              </w:rPr>
              <w:t>对标功能</w:t>
            </w:r>
          </w:p>
        </w:tc>
        <w:tc>
          <w:tcPr>
            <w:gridSpan w:val="2"/>
            <w:shd w:val="clear" w:color="auto" w:fill="E6E6E6"/>
            <w:vAlign w:val="center"/>
          </w:tcPr>
          <w:p w14:paraId="083417E8">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7E49AD98">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00EB0F2F">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14:paraId="6990E592">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14:paraId="76FB2BF6">
            <w:pPr>
              <w:jc w:val="center"/>
              <w:rPr>
                <w:sz w:val="18"/>
                <w:szCs w:val="18"/>
              </w:rPr>
            </w:pPr>
            <w:r>
              <w:rPr>
                <w:sz w:val="18"/>
                <w:szCs w:val="18"/>
              </w:rPr>
              <w:t>达标面积</w:t>
            </w:r>
            <w:r>
              <w:rPr>
                <w:sz w:val="18"/>
                <w:szCs w:val="18"/>
              </w:rPr>
              <w:br w:type="textWrapping"/>
            </w:r>
            <w:r>
              <w:rPr>
                <w:sz w:val="18"/>
                <w:szCs w:val="18"/>
              </w:rPr>
              <w:t>比例(%)</w:t>
            </w:r>
          </w:p>
        </w:tc>
        <w:tc>
          <w:tcPr>
            <w:shd w:val="clear" w:color="auto" w:fill="E6E6E6"/>
            <w:vAlign w:val="center"/>
          </w:tcPr>
          <w:p w14:paraId="13DBA206">
            <w:pPr>
              <w:jc w:val="center"/>
              <w:rPr>
                <w:sz w:val="18"/>
                <w:szCs w:val="18"/>
              </w:rPr>
            </w:pPr>
            <w:r>
              <w:rPr>
                <w:sz w:val="18"/>
                <w:szCs w:val="18"/>
              </w:rPr>
              <w:t>结论</w:t>
            </w:r>
          </w:p>
        </w:tc>
      </w:tr>
      <w:tr w14:paraId="1F7868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4B83D105">
            <w:pPr>
              <w:jc w:val="center"/>
              <w:rPr>
                <w:sz w:val="18"/>
                <w:szCs w:val="18"/>
              </w:rPr>
            </w:pPr>
            <w:r>
              <w:rPr>
                <w:sz w:val="18"/>
                <w:szCs w:val="18"/>
              </w:rPr>
              <w:t>1</w:t>
            </w:r>
          </w:p>
        </w:tc>
        <w:tc>
          <w:tcPr>
            <w:gridSpan w:val="2"/>
            <w:vAlign w:val="center"/>
          </w:tcPr>
          <w:p w14:paraId="490CD565">
            <w:pPr>
              <w:jc w:val="center"/>
              <w:rPr>
                <w:sz w:val="18"/>
                <w:szCs w:val="18"/>
              </w:rPr>
            </w:pPr>
            <w:r>
              <w:rPr>
                <w:sz w:val="18"/>
                <w:szCs w:val="18"/>
              </w:rPr>
              <w:t>0002[办公室]</w:t>
            </w:r>
          </w:p>
        </w:tc>
        <w:tc>
          <w:tcPr>
            <w:gridSpan w:val="2"/>
            <w:vAlign w:val="center"/>
          </w:tcPr>
          <w:p w14:paraId="125CCC99">
            <w:pPr>
              <w:jc w:val="center"/>
              <w:rPr>
                <w:sz w:val="18"/>
                <w:szCs w:val="18"/>
              </w:rPr>
            </w:pPr>
            <w:r>
              <w:rPr>
                <w:sz w:val="18"/>
                <w:szCs w:val="18"/>
              </w:rPr>
              <w:t>办公室</w:t>
            </w:r>
          </w:p>
        </w:tc>
        <w:tc>
          <w:tcPr>
            <w:gridSpan w:val="2"/>
            <w:vAlign w:val="center"/>
          </w:tcPr>
          <w:p w14:paraId="7C899B6C">
            <w:pPr>
              <w:jc w:val="center"/>
              <w:rPr>
                <w:sz w:val="18"/>
                <w:szCs w:val="18"/>
              </w:rPr>
            </w:pPr>
            <w:r>
              <w:rPr>
                <w:sz w:val="18"/>
                <w:szCs w:val="18"/>
              </w:rPr>
              <w:t>III</w:t>
            </w:r>
          </w:p>
        </w:tc>
        <w:tc>
          <w:tcPr>
            <w:vAlign w:val="center"/>
          </w:tcPr>
          <w:p w14:paraId="68E17B3D">
            <w:pPr>
              <w:jc w:val="center"/>
              <w:rPr>
                <w:sz w:val="18"/>
                <w:szCs w:val="18"/>
              </w:rPr>
            </w:pPr>
            <w:r>
              <w:rPr>
                <w:sz w:val="18"/>
                <w:szCs w:val="18"/>
              </w:rPr>
              <w:t>侧面</w:t>
            </w:r>
          </w:p>
        </w:tc>
        <w:tc>
          <w:tcPr>
            <w:gridSpan w:val="2"/>
            <w:vAlign w:val="center"/>
          </w:tcPr>
          <w:p w14:paraId="2B16AF3D">
            <w:pPr>
              <w:jc w:val="center"/>
              <w:rPr>
                <w:sz w:val="18"/>
                <w:szCs w:val="18"/>
              </w:rPr>
            </w:pPr>
            <w:r>
              <w:rPr>
                <w:sz w:val="18"/>
                <w:szCs w:val="18"/>
              </w:rPr>
              <w:t>450</w:t>
            </w:r>
          </w:p>
        </w:tc>
        <w:tc>
          <w:tcPr>
            <w:vAlign w:val="center"/>
          </w:tcPr>
          <w:p w14:paraId="1452C725">
            <w:pPr>
              <w:jc w:val="center"/>
              <w:rPr>
                <w:sz w:val="18"/>
                <w:szCs w:val="18"/>
              </w:rPr>
            </w:pPr>
            <w:r>
              <w:rPr>
                <w:sz w:val="18"/>
                <w:szCs w:val="18"/>
              </w:rPr>
              <w:t>95.72</w:t>
            </w:r>
          </w:p>
        </w:tc>
        <w:tc>
          <w:tcPr>
            <w:gridSpan w:val="2"/>
            <w:vAlign w:val="center"/>
          </w:tcPr>
          <w:p w14:paraId="7473BB52">
            <w:pPr>
              <w:jc w:val="center"/>
              <w:rPr>
                <w:sz w:val="18"/>
                <w:szCs w:val="18"/>
              </w:rPr>
            </w:pPr>
            <w:r>
              <w:rPr>
                <w:sz w:val="18"/>
                <w:szCs w:val="18"/>
              </w:rPr>
              <w:t>100</w:t>
            </w:r>
          </w:p>
        </w:tc>
        <w:tc>
          <w:tcPr>
            <w:vAlign w:val="center"/>
          </w:tcPr>
          <w:p w14:paraId="19BC88AD">
            <w:pPr>
              <w:jc w:val="center"/>
              <w:rPr>
                <w:sz w:val="18"/>
                <w:szCs w:val="18"/>
              </w:rPr>
            </w:pPr>
            <w:r>
              <w:rPr>
                <w:sz w:val="18"/>
                <w:szCs w:val="18"/>
              </w:rPr>
              <w:t>满足</w:t>
            </w:r>
          </w:p>
        </w:tc>
      </w:tr>
      <w:tr w14:paraId="4C3BB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09E1980">
            <w:pPr>
              <w:jc w:val="center"/>
              <w:rPr>
                <w:sz w:val="18"/>
                <w:szCs w:val="18"/>
              </w:rPr>
            </w:pPr>
          </w:p>
        </w:tc>
        <w:tc>
          <w:tcPr>
            <w:gridSpan w:val="2"/>
            <w:vAlign w:val="center"/>
          </w:tcPr>
          <w:p w14:paraId="06FC0856">
            <w:pPr>
              <w:jc w:val="center"/>
              <w:rPr>
                <w:sz w:val="18"/>
                <w:szCs w:val="18"/>
              </w:rPr>
            </w:pPr>
            <w:r>
              <w:rPr>
                <w:sz w:val="18"/>
                <w:szCs w:val="18"/>
              </w:rPr>
              <w:t>0005[大厅]</w:t>
            </w:r>
          </w:p>
        </w:tc>
        <w:tc>
          <w:tcPr>
            <w:gridSpan w:val="2"/>
            <w:vAlign w:val="center"/>
          </w:tcPr>
          <w:p w14:paraId="0907E576">
            <w:pPr>
              <w:jc w:val="center"/>
              <w:rPr>
                <w:sz w:val="18"/>
                <w:szCs w:val="18"/>
              </w:rPr>
            </w:pPr>
            <w:r>
              <w:rPr>
                <w:sz w:val="18"/>
                <w:szCs w:val="18"/>
              </w:rPr>
              <w:t>登录厅</w:t>
            </w:r>
          </w:p>
        </w:tc>
        <w:tc>
          <w:tcPr>
            <w:gridSpan w:val="2"/>
            <w:vAlign w:val="center"/>
          </w:tcPr>
          <w:p w14:paraId="3C4B3383">
            <w:pPr>
              <w:jc w:val="center"/>
              <w:rPr>
                <w:sz w:val="18"/>
                <w:szCs w:val="18"/>
              </w:rPr>
            </w:pPr>
            <w:r>
              <w:rPr>
                <w:sz w:val="18"/>
                <w:szCs w:val="18"/>
              </w:rPr>
              <w:t>IV</w:t>
            </w:r>
          </w:p>
        </w:tc>
        <w:tc>
          <w:tcPr>
            <w:vAlign w:val="center"/>
          </w:tcPr>
          <w:p w14:paraId="4D233CF4">
            <w:pPr>
              <w:jc w:val="center"/>
              <w:rPr>
                <w:sz w:val="18"/>
                <w:szCs w:val="18"/>
              </w:rPr>
            </w:pPr>
            <w:r>
              <w:rPr>
                <w:sz w:val="18"/>
                <w:szCs w:val="18"/>
              </w:rPr>
              <w:t>侧面</w:t>
            </w:r>
          </w:p>
        </w:tc>
        <w:tc>
          <w:tcPr>
            <w:gridSpan w:val="2"/>
            <w:vAlign w:val="center"/>
          </w:tcPr>
          <w:p w14:paraId="0F4D768E">
            <w:pPr>
              <w:jc w:val="center"/>
              <w:rPr>
                <w:sz w:val="18"/>
                <w:szCs w:val="18"/>
              </w:rPr>
            </w:pPr>
            <w:r>
              <w:rPr>
                <w:sz w:val="18"/>
                <w:szCs w:val="18"/>
              </w:rPr>
              <w:t>300</w:t>
            </w:r>
          </w:p>
        </w:tc>
        <w:tc>
          <w:tcPr>
            <w:vAlign w:val="center"/>
          </w:tcPr>
          <w:p w14:paraId="72415DB4">
            <w:pPr>
              <w:jc w:val="center"/>
              <w:rPr>
                <w:sz w:val="18"/>
                <w:szCs w:val="18"/>
              </w:rPr>
            </w:pPr>
            <w:r>
              <w:rPr>
                <w:sz w:val="18"/>
                <w:szCs w:val="18"/>
              </w:rPr>
              <w:t>391.53</w:t>
            </w:r>
          </w:p>
        </w:tc>
        <w:tc>
          <w:tcPr>
            <w:gridSpan w:val="2"/>
            <w:vAlign w:val="center"/>
          </w:tcPr>
          <w:p w14:paraId="57420DDF">
            <w:pPr>
              <w:jc w:val="center"/>
              <w:rPr>
                <w:sz w:val="18"/>
                <w:szCs w:val="18"/>
              </w:rPr>
            </w:pPr>
            <w:r>
              <w:rPr>
                <w:sz w:val="18"/>
                <w:szCs w:val="18"/>
              </w:rPr>
              <w:t>100</w:t>
            </w:r>
          </w:p>
        </w:tc>
        <w:tc>
          <w:tcPr>
            <w:vAlign w:val="center"/>
          </w:tcPr>
          <w:p w14:paraId="35F31BA3">
            <w:pPr>
              <w:jc w:val="center"/>
              <w:rPr>
                <w:sz w:val="18"/>
                <w:szCs w:val="18"/>
              </w:rPr>
            </w:pPr>
            <w:r>
              <w:rPr>
                <w:sz w:val="18"/>
                <w:szCs w:val="18"/>
              </w:rPr>
              <w:t>满足</w:t>
            </w:r>
          </w:p>
        </w:tc>
      </w:tr>
      <w:tr w14:paraId="2A2797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C481035">
            <w:pPr>
              <w:jc w:val="center"/>
              <w:rPr>
                <w:sz w:val="18"/>
                <w:szCs w:val="18"/>
              </w:rPr>
            </w:pPr>
          </w:p>
        </w:tc>
        <w:tc>
          <w:tcPr>
            <w:gridSpan w:val="2"/>
            <w:vAlign w:val="center"/>
          </w:tcPr>
          <w:p w14:paraId="63B4202A">
            <w:pPr>
              <w:jc w:val="center"/>
              <w:rPr>
                <w:sz w:val="18"/>
                <w:szCs w:val="18"/>
              </w:rPr>
            </w:pPr>
            <w:r>
              <w:rPr>
                <w:sz w:val="18"/>
                <w:szCs w:val="18"/>
              </w:rPr>
              <w:t>0006[展览馆]</w:t>
            </w:r>
          </w:p>
        </w:tc>
        <w:tc>
          <w:tcPr>
            <w:gridSpan w:val="2"/>
            <w:vAlign w:val="center"/>
          </w:tcPr>
          <w:p w14:paraId="3DF98ED0">
            <w:pPr>
              <w:jc w:val="center"/>
              <w:rPr>
                <w:sz w:val="18"/>
                <w:szCs w:val="18"/>
              </w:rPr>
            </w:pPr>
            <w:r>
              <w:rPr>
                <w:sz w:val="18"/>
                <w:szCs w:val="18"/>
              </w:rPr>
              <w:t>展厅（单层及顶层）</w:t>
            </w:r>
          </w:p>
        </w:tc>
        <w:tc>
          <w:tcPr>
            <w:gridSpan w:val="2"/>
            <w:vAlign w:val="center"/>
          </w:tcPr>
          <w:p w14:paraId="6CF31E05">
            <w:pPr>
              <w:jc w:val="center"/>
              <w:rPr>
                <w:sz w:val="18"/>
                <w:szCs w:val="18"/>
              </w:rPr>
            </w:pPr>
            <w:r>
              <w:rPr>
                <w:sz w:val="18"/>
                <w:szCs w:val="18"/>
              </w:rPr>
              <w:t>III</w:t>
            </w:r>
          </w:p>
        </w:tc>
        <w:tc>
          <w:tcPr>
            <w:vAlign w:val="center"/>
          </w:tcPr>
          <w:p w14:paraId="2A80E6DA">
            <w:pPr>
              <w:jc w:val="center"/>
              <w:rPr>
                <w:sz w:val="18"/>
                <w:szCs w:val="18"/>
              </w:rPr>
            </w:pPr>
            <w:r>
              <w:rPr>
                <w:sz w:val="18"/>
                <w:szCs w:val="18"/>
              </w:rPr>
              <w:t>侧面</w:t>
            </w:r>
          </w:p>
        </w:tc>
        <w:tc>
          <w:tcPr>
            <w:gridSpan w:val="2"/>
            <w:vAlign w:val="center"/>
          </w:tcPr>
          <w:p w14:paraId="0DAAD5B9">
            <w:pPr>
              <w:jc w:val="center"/>
              <w:rPr>
                <w:sz w:val="18"/>
                <w:szCs w:val="18"/>
              </w:rPr>
            </w:pPr>
            <w:r>
              <w:rPr>
                <w:sz w:val="18"/>
                <w:szCs w:val="18"/>
              </w:rPr>
              <w:t>450</w:t>
            </w:r>
          </w:p>
        </w:tc>
        <w:tc>
          <w:tcPr>
            <w:vAlign w:val="center"/>
          </w:tcPr>
          <w:p w14:paraId="5B7B0E2A">
            <w:pPr>
              <w:jc w:val="center"/>
              <w:rPr>
                <w:sz w:val="18"/>
                <w:szCs w:val="18"/>
              </w:rPr>
            </w:pPr>
            <w:r>
              <w:rPr>
                <w:sz w:val="18"/>
                <w:szCs w:val="18"/>
              </w:rPr>
              <w:t>95.72</w:t>
            </w:r>
          </w:p>
        </w:tc>
        <w:tc>
          <w:tcPr>
            <w:gridSpan w:val="2"/>
            <w:vAlign w:val="center"/>
          </w:tcPr>
          <w:p w14:paraId="42DA2720">
            <w:pPr>
              <w:jc w:val="center"/>
              <w:rPr>
                <w:sz w:val="18"/>
                <w:szCs w:val="18"/>
              </w:rPr>
            </w:pPr>
            <w:r>
              <w:rPr>
                <w:sz w:val="18"/>
                <w:szCs w:val="18"/>
              </w:rPr>
              <w:t>100</w:t>
            </w:r>
          </w:p>
        </w:tc>
        <w:tc>
          <w:tcPr>
            <w:vAlign w:val="center"/>
          </w:tcPr>
          <w:p w14:paraId="32EB8992">
            <w:pPr>
              <w:jc w:val="center"/>
              <w:rPr>
                <w:sz w:val="18"/>
                <w:szCs w:val="18"/>
              </w:rPr>
            </w:pPr>
            <w:r>
              <w:rPr>
                <w:sz w:val="18"/>
                <w:szCs w:val="18"/>
              </w:rPr>
              <w:t>满足</w:t>
            </w:r>
          </w:p>
        </w:tc>
      </w:tr>
      <w:tr w14:paraId="071159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216D882D">
            <w:pPr>
              <w:jc w:val="center"/>
              <w:rPr>
                <w:sz w:val="18"/>
                <w:szCs w:val="18"/>
              </w:rPr>
            </w:pPr>
            <w:r>
              <w:rPr>
                <w:sz w:val="18"/>
                <w:szCs w:val="18"/>
              </w:rPr>
              <w:t>2</w:t>
            </w:r>
          </w:p>
        </w:tc>
        <w:tc>
          <w:tcPr>
            <w:gridSpan w:val="2"/>
            <w:vAlign w:val="center"/>
          </w:tcPr>
          <w:p w14:paraId="27BF213F">
            <w:pPr>
              <w:jc w:val="center"/>
              <w:rPr>
                <w:sz w:val="18"/>
                <w:szCs w:val="18"/>
              </w:rPr>
            </w:pPr>
            <w:r>
              <w:rPr>
                <w:sz w:val="18"/>
                <w:szCs w:val="18"/>
              </w:rPr>
              <w:t>X001[观众休息厅]</w:t>
            </w:r>
          </w:p>
        </w:tc>
        <w:tc>
          <w:tcPr>
            <w:gridSpan w:val="2"/>
            <w:vAlign w:val="center"/>
          </w:tcPr>
          <w:p w14:paraId="3BF76780">
            <w:pPr>
              <w:jc w:val="center"/>
              <w:rPr>
                <w:sz w:val="18"/>
                <w:szCs w:val="18"/>
              </w:rPr>
            </w:pPr>
            <w:r>
              <w:rPr>
                <w:sz w:val="18"/>
                <w:szCs w:val="18"/>
              </w:rPr>
              <w:t>休息厅</w:t>
            </w:r>
          </w:p>
        </w:tc>
        <w:tc>
          <w:tcPr>
            <w:gridSpan w:val="2"/>
            <w:vAlign w:val="center"/>
          </w:tcPr>
          <w:p w14:paraId="1003D115">
            <w:pPr>
              <w:jc w:val="center"/>
              <w:rPr>
                <w:sz w:val="18"/>
                <w:szCs w:val="18"/>
              </w:rPr>
            </w:pPr>
            <w:r>
              <w:rPr>
                <w:sz w:val="18"/>
                <w:szCs w:val="18"/>
              </w:rPr>
              <w:t>IV</w:t>
            </w:r>
          </w:p>
        </w:tc>
        <w:tc>
          <w:tcPr>
            <w:vAlign w:val="center"/>
          </w:tcPr>
          <w:p w14:paraId="1A7C233C">
            <w:pPr>
              <w:jc w:val="center"/>
              <w:rPr>
                <w:sz w:val="18"/>
                <w:szCs w:val="18"/>
              </w:rPr>
            </w:pPr>
            <w:r>
              <w:rPr>
                <w:sz w:val="18"/>
                <w:szCs w:val="18"/>
              </w:rPr>
              <w:t>侧面</w:t>
            </w:r>
          </w:p>
        </w:tc>
        <w:tc>
          <w:tcPr>
            <w:gridSpan w:val="2"/>
            <w:vAlign w:val="center"/>
          </w:tcPr>
          <w:p w14:paraId="66B4D82D">
            <w:pPr>
              <w:jc w:val="center"/>
              <w:rPr>
                <w:sz w:val="18"/>
                <w:szCs w:val="18"/>
              </w:rPr>
            </w:pPr>
            <w:r>
              <w:rPr>
                <w:sz w:val="18"/>
                <w:szCs w:val="18"/>
              </w:rPr>
              <w:t>300</w:t>
            </w:r>
          </w:p>
        </w:tc>
        <w:tc>
          <w:tcPr>
            <w:vAlign w:val="center"/>
          </w:tcPr>
          <w:p w14:paraId="749039B9">
            <w:pPr>
              <w:jc w:val="center"/>
              <w:rPr>
                <w:sz w:val="18"/>
                <w:szCs w:val="18"/>
              </w:rPr>
            </w:pPr>
            <w:r>
              <w:rPr>
                <w:sz w:val="18"/>
                <w:szCs w:val="18"/>
              </w:rPr>
              <w:t>202.00</w:t>
            </w:r>
          </w:p>
        </w:tc>
        <w:tc>
          <w:tcPr>
            <w:gridSpan w:val="2"/>
            <w:vAlign w:val="center"/>
          </w:tcPr>
          <w:p w14:paraId="0A56321E">
            <w:pPr>
              <w:jc w:val="center"/>
              <w:rPr>
                <w:sz w:val="18"/>
                <w:szCs w:val="18"/>
              </w:rPr>
            </w:pPr>
            <w:r>
              <w:rPr>
                <w:sz w:val="18"/>
                <w:szCs w:val="18"/>
              </w:rPr>
              <w:t>100</w:t>
            </w:r>
          </w:p>
        </w:tc>
        <w:tc>
          <w:tcPr>
            <w:vAlign w:val="center"/>
          </w:tcPr>
          <w:p w14:paraId="48A3ABC6">
            <w:pPr>
              <w:jc w:val="center"/>
              <w:rPr>
                <w:sz w:val="18"/>
                <w:szCs w:val="18"/>
              </w:rPr>
            </w:pPr>
            <w:r>
              <w:rPr>
                <w:sz w:val="18"/>
                <w:szCs w:val="18"/>
              </w:rPr>
              <w:t>满足</w:t>
            </w:r>
          </w:p>
        </w:tc>
      </w:tr>
      <w:tr w14:paraId="36869E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159D551">
            <w:pPr>
              <w:jc w:val="center"/>
              <w:rPr>
                <w:sz w:val="18"/>
                <w:szCs w:val="18"/>
              </w:rPr>
            </w:pPr>
          </w:p>
        </w:tc>
        <w:tc>
          <w:tcPr>
            <w:gridSpan w:val="2"/>
            <w:vAlign w:val="center"/>
          </w:tcPr>
          <w:p w14:paraId="2BA5FC3B">
            <w:pPr>
              <w:jc w:val="center"/>
              <w:rPr>
                <w:sz w:val="18"/>
                <w:szCs w:val="18"/>
              </w:rPr>
            </w:pPr>
            <w:r>
              <w:rPr>
                <w:sz w:val="18"/>
                <w:szCs w:val="18"/>
              </w:rPr>
              <w:t>X002[观众休息厅]</w:t>
            </w:r>
          </w:p>
        </w:tc>
        <w:tc>
          <w:tcPr>
            <w:gridSpan w:val="2"/>
            <w:vAlign w:val="center"/>
          </w:tcPr>
          <w:p w14:paraId="2124672C">
            <w:pPr>
              <w:jc w:val="center"/>
              <w:rPr>
                <w:sz w:val="18"/>
                <w:szCs w:val="18"/>
              </w:rPr>
            </w:pPr>
            <w:r>
              <w:rPr>
                <w:sz w:val="18"/>
                <w:szCs w:val="18"/>
              </w:rPr>
              <w:t>休息厅</w:t>
            </w:r>
          </w:p>
        </w:tc>
        <w:tc>
          <w:tcPr>
            <w:gridSpan w:val="2"/>
            <w:vAlign w:val="center"/>
          </w:tcPr>
          <w:p w14:paraId="64F7ED6D">
            <w:pPr>
              <w:jc w:val="center"/>
              <w:rPr>
                <w:sz w:val="18"/>
                <w:szCs w:val="18"/>
              </w:rPr>
            </w:pPr>
            <w:r>
              <w:rPr>
                <w:sz w:val="18"/>
                <w:szCs w:val="18"/>
              </w:rPr>
              <w:t>IV</w:t>
            </w:r>
          </w:p>
        </w:tc>
        <w:tc>
          <w:tcPr>
            <w:vAlign w:val="center"/>
          </w:tcPr>
          <w:p w14:paraId="4FEE0CD7">
            <w:pPr>
              <w:jc w:val="center"/>
              <w:rPr>
                <w:sz w:val="18"/>
                <w:szCs w:val="18"/>
              </w:rPr>
            </w:pPr>
            <w:r>
              <w:rPr>
                <w:sz w:val="18"/>
                <w:szCs w:val="18"/>
              </w:rPr>
              <w:t>侧面</w:t>
            </w:r>
          </w:p>
        </w:tc>
        <w:tc>
          <w:tcPr>
            <w:gridSpan w:val="2"/>
            <w:vAlign w:val="center"/>
          </w:tcPr>
          <w:p w14:paraId="4E400395">
            <w:pPr>
              <w:jc w:val="center"/>
              <w:rPr>
                <w:sz w:val="18"/>
                <w:szCs w:val="18"/>
              </w:rPr>
            </w:pPr>
            <w:r>
              <w:rPr>
                <w:sz w:val="18"/>
                <w:szCs w:val="18"/>
              </w:rPr>
              <w:t>300</w:t>
            </w:r>
          </w:p>
        </w:tc>
        <w:tc>
          <w:tcPr>
            <w:vAlign w:val="center"/>
          </w:tcPr>
          <w:p w14:paraId="63B16670">
            <w:pPr>
              <w:jc w:val="center"/>
              <w:rPr>
                <w:sz w:val="18"/>
                <w:szCs w:val="18"/>
              </w:rPr>
            </w:pPr>
            <w:r>
              <w:rPr>
                <w:sz w:val="18"/>
                <w:szCs w:val="18"/>
              </w:rPr>
              <w:t>202.00</w:t>
            </w:r>
          </w:p>
        </w:tc>
        <w:tc>
          <w:tcPr>
            <w:gridSpan w:val="2"/>
            <w:vAlign w:val="center"/>
          </w:tcPr>
          <w:p w14:paraId="49FA88AD">
            <w:pPr>
              <w:jc w:val="center"/>
              <w:rPr>
                <w:sz w:val="18"/>
                <w:szCs w:val="18"/>
              </w:rPr>
            </w:pPr>
            <w:r>
              <w:rPr>
                <w:sz w:val="18"/>
                <w:szCs w:val="18"/>
              </w:rPr>
              <w:t>100</w:t>
            </w:r>
          </w:p>
        </w:tc>
        <w:tc>
          <w:tcPr>
            <w:vAlign w:val="center"/>
          </w:tcPr>
          <w:p w14:paraId="5E1F7DA1">
            <w:pPr>
              <w:jc w:val="center"/>
              <w:rPr>
                <w:sz w:val="18"/>
                <w:szCs w:val="18"/>
              </w:rPr>
            </w:pPr>
            <w:r>
              <w:rPr>
                <w:sz w:val="18"/>
                <w:szCs w:val="18"/>
              </w:rPr>
              <w:t>满足</w:t>
            </w:r>
          </w:p>
        </w:tc>
      </w:tr>
      <w:tr w14:paraId="14DEE9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234541A9">
            <w:pPr>
              <w:jc w:val="center"/>
              <w:rPr>
                <w:sz w:val="18"/>
                <w:szCs w:val="18"/>
              </w:rPr>
            </w:pPr>
            <w:r>
              <w:rPr>
                <w:sz w:val="18"/>
                <w:szCs w:val="18"/>
              </w:rPr>
              <w:t>3</w:t>
            </w:r>
          </w:p>
        </w:tc>
        <w:tc>
          <w:tcPr>
            <w:gridSpan w:val="2"/>
            <w:vAlign w:val="center"/>
          </w:tcPr>
          <w:p w14:paraId="7857AF72">
            <w:pPr>
              <w:jc w:val="center"/>
              <w:rPr>
                <w:sz w:val="18"/>
                <w:szCs w:val="18"/>
              </w:rPr>
            </w:pPr>
            <w:r>
              <w:rPr>
                <w:sz w:val="18"/>
                <w:szCs w:val="18"/>
              </w:rPr>
              <w:t>3002[观众休息厅]</w:t>
            </w:r>
          </w:p>
        </w:tc>
        <w:tc>
          <w:tcPr>
            <w:gridSpan w:val="2"/>
            <w:vAlign w:val="center"/>
          </w:tcPr>
          <w:p w14:paraId="722F6E1A">
            <w:pPr>
              <w:jc w:val="center"/>
              <w:rPr>
                <w:sz w:val="18"/>
                <w:szCs w:val="18"/>
              </w:rPr>
            </w:pPr>
            <w:r>
              <w:rPr>
                <w:sz w:val="18"/>
                <w:szCs w:val="18"/>
              </w:rPr>
              <w:t>休息厅</w:t>
            </w:r>
          </w:p>
        </w:tc>
        <w:tc>
          <w:tcPr>
            <w:gridSpan w:val="2"/>
            <w:vAlign w:val="center"/>
          </w:tcPr>
          <w:p w14:paraId="2E9CD7E6">
            <w:pPr>
              <w:jc w:val="center"/>
              <w:rPr>
                <w:sz w:val="18"/>
                <w:szCs w:val="18"/>
              </w:rPr>
            </w:pPr>
            <w:r>
              <w:rPr>
                <w:sz w:val="18"/>
                <w:szCs w:val="18"/>
              </w:rPr>
              <w:t>IV</w:t>
            </w:r>
          </w:p>
        </w:tc>
        <w:tc>
          <w:tcPr>
            <w:vAlign w:val="center"/>
          </w:tcPr>
          <w:p w14:paraId="66C48D4E">
            <w:pPr>
              <w:jc w:val="center"/>
              <w:rPr>
                <w:sz w:val="18"/>
                <w:szCs w:val="18"/>
              </w:rPr>
            </w:pPr>
            <w:r>
              <w:rPr>
                <w:sz w:val="18"/>
                <w:szCs w:val="18"/>
              </w:rPr>
              <w:t>侧面</w:t>
            </w:r>
          </w:p>
        </w:tc>
        <w:tc>
          <w:tcPr>
            <w:gridSpan w:val="2"/>
            <w:vAlign w:val="center"/>
          </w:tcPr>
          <w:p w14:paraId="0EC5C1D8">
            <w:pPr>
              <w:jc w:val="center"/>
              <w:rPr>
                <w:sz w:val="18"/>
                <w:szCs w:val="18"/>
              </w:rPr>
            </w:pPr>
            <w:r>
              <w:rPr>
                <w:sz w:val="18"/>
                <w:szCs w:val="18"/>
              </w:rPr>
              <w:t>300</w:t>
            </w:r>
          </w:p>
        </w:tc>
        <w:tc>
          <w:tcPr>
            <w:vAlign w:val="center"/>
          </w:tcPr>
          <w:p w14:paraId="07C21F8B">
            <w:pPr>
              <w:jc w:val="center"/>
              <w:rPr>
                <w:sz w:val="18"/>
                <w:szCs w:val="18"/>
              </w:rPr>
            </w:pPr>
            <w:r>
              <w:rPr>
                <w:sz w:val="18"/>
                <w:szCs w:val="18"/>
              </w:rPr>
              <w:t>202.00</w:t>
            </w:r>
          </w:p>
        </w:tc>
        <w:tc>
          <w:tcPr>
            <w:gridSpan w:val="2"/>
            <w:vAlign w:val="center"/>
          </w:tcPr>
          <w:p w14:paraId="3257DA4E">
            <w:pPr>
              <w:jc w:val="center"/>
              <w:rPr>
                <w:sz w:val="18"/>
                <w:szCs w:val="18"/>
              </w:rPr>
            </w:pPr>
            <w:r>
              <w:rPr>
                <w:sz w:val="18"/>
                <w:szCs w:val="18"/>
              </w:rPr>
              <w:t>100</w:t>
            </w:r>
          </w:p>
        </w:tc>
        <w:tc>
          <w:tcPr>
            <w:vAlign w:val="center"/>
          </w:tcPr>
          <w:p w14:paraId="217AE90A">
            <w:pPr>
              <w:jc w:val="center"/>
              <w:rPr>
                <w:sz w:val="18"/>
                <w:szCs w:val="18"/>
              </w:rPr>
            </w:pPr>
            <w:r>
              <w:rPr>
                <w:sz w:val="18"/>
                <w:szCs w:val="18"/>
              </w:rPr>
              <w:t>满足</w:t>
            </w:r>
          </w:p>
        </w:tc>
      </w:tr>
      <w:tr w14:paraId="2440BA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4826E20">
            <w:pPr>
              <w:jc w:val="center"/>
              <w:rPr>
                <w:sz w:val="18"/>
                <w:szCs w:val="18"/>
              </w:rPr>
            </w:pPr>
          </w:p>
        </w:tc>
        <w:tc>
          <w:tcPr>
            <w:gridSpan w:val="2"/>
            <w:vAlign w:val="center"/>
          </w:tcPr>
          <w:p w14:paraId="57B1129A">
            <w:pPr>
              <w:jc w:val="center"/>
              <w:rPr>
                <w:sz w:val="18"/>
                <w:szCs w:val="18"/>
              </w:rPr>
            </w:pPr>
            <w:r>
              <w:rPr>
                <w:sz w:val="18"/>
                <w:szCs w:val="18"/>
              </w:rPr>
              <w:t>3003[观众休息厅]</w:t>
            </w:r>
          </w:p>
        </w:tc>
        <w:tc>
          <w:tcPr>
            <w:gridSpan w:val="2"/>
            <w:vAlign w:val="center"/>
          </w:tcPr>
          <w:p w14:paraId="32E8FA2B">
            <w:pPr>
              <w:jc w:val="center"/>
              <w:rPr>
                <w:sz w:val="18"/>
                <w:szCs w:val="18"/>
              </w:rPr>
            </w:pPr>
            <w:r>
              <w:rPr>
                <w:sz w:val="18"/>
                <w:szCs w:val="18"/>
              </w:rPr>
              <w:t>休息厅</w:t>
            </w:r>
          </w:p>
        </w:tc>
        <w:tc>
          <w:tcPr>
            <w:gridSpan w:val="2"/>
            <w:vAlign w:val="center"/>
          </w:tcPr>
          <w:p w14:paraId="0E09D7D5">
            <w:pPr>
              <w:jc w:val="center"/>
              <w:rPr>
                <w:sz w:val="18"/>
                <w:szCs w:val="18"/>
              </w:rPr>
            </w:pPr>
            <w:r>
              <w:rPr>
                <w:sz w:val="18"/>
                <w:szCs w:val="18"/>
              </w:rPr>
              <w:t>IV</w:t>
            </w:r>
          </w:p>
        </w:tc>
        <w:tc>
          <w:tcPr>
            <w:vAlign w:val="center"/>
          </w:tcPr>
          <w:p w14:paraId="767A35D6">
            <w:pPr>
              <w:jc w:val="center"/>
              <w:rPr>
                <w:sz w:val="18"/>
                <w:szCs w:val="18"/>
              </w:rPr>
            </w:pPr>
            <w:r>
              <w:rPr>
                <w:sz w:val="18"/>
                <w:szCs w:val="18"/>
              </w:rPr>
              <w:t>侧面</w:t>
            </w:r>
          </w:p>
        </w:tc>
        <w:tc>
          <w:tcPr>
            <w:gridSpan w:val="2"/>
            <w:vAlign w:val="center"/>
          </w:tcPr>
          <w:p w14:paraId="6B5094AF">
            <w:pPr>
              <w:jc w:val="center"/>
              <w:rPr>
                <w:sz w:val="18"/>
                <w:szCs w:val="18"/>
              </w:rPr>
            </w:pPr>
            <w:r>
              <w:rPr>
                <w:sz w:val="18"/>
                <w:szCs w:val="18"/>
              </w:rPr>
              <w:t>300</w:t>
            </w:r>
          </w:p>
        </w:tc>
        <w:tc>
          <w:tcPr>
            <w:vAlign w:val="center"/>
          </w:tcPr>
          <w:p w14:paraId="05F84DC8">
            <w:pPr>
              <w:jc w:val="center"/>
              <w:rPr>
                <w:sz w:val="18"/>
                <w:szCs w:val="18"/>
              </w:rPr>
            </w:pPr>
            <w:r>
              <w:rPr>
                <w:sz w:val="18"/>
                <w:szCs w:val="18"/>
              </w:rPr>
              <w:t>202.00</w:t>
            </w:r>
          </w:p>
        </w:tc>
        <w:tc>
          <w:tcPr>
            <w:gridSpan w:val="2"/>
            <w:vAlign w:val="center"/>
          </w:tcPr>
          <w:p w14:paraId="2A3B6383">
            <w:pPr>
              <w:jc w:val="center"/>
              <w:rPr>
                <w:sz w:val="18"/>
                <w:szCs w:val="18"/>
              </w:rPr>
            </w:pPr>
            <w:r>
              <w:rPr>
                <w:sz w:val="18"/>
                <w:szCs w:val="18"/>
              </w:rPr>
              <w:t>100</w:t>
            </w:r>
          </w:p>
        </w:tc>
        <w:tc>
          <w:tcPr>
            <w:vAlign w:val="center"/>
          </w:tcPr>
          <w:p w14:paraId="1EE6986F">
            <w:pPr>
              <w:jc w:val="center"/>
              <w:rPr>
                <w:sz w:val="18"/>
                <w:szCs w:val="18"/>
              </w:rPr>
            </w:pPr>
            <w:r>
              <w:rPr>
                <w:sz w:val="18"/>
                <w:szCs w:val="18"/>
              </w:rPr>
              <w:t>满足</w:t>
            </w:r>
          </w:p>
        </w:tc>
      </w:tr>
      <w:tr w14:paraId="50DA2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604E9A7B">
            <w:pPr>
              <w:jc w:val="center"/>
              <w:rPr>
                <w:sz w:val="18"/>
                <w:szCs w:val="18"/>
              </w:rPr>
            </w:pPr>
            <w:r>
              <w:rPr>
                <w:sz w:val="18"/>
                <w:szCs w:val="18"/>
              </w:rPr>
              <w:t>4</w:t>
            </w:r>
          </w:p>
        </w:tc>
        <w:tc>
          <w:tcPr>
            <w:gridSpan w:val="2"/>
            <w:vAlign w:val="center"/>
          </w:tcPr>
          <w:p w14:paraId="14699391">
            <w:pPr>
              <w:jc w:val="center"/>
              <w:rPr>
                <w:sz w:val="18"/>
                <w:szCs w:val="18"/>
              </w:rPr>
            </w:pPr>
            <w:r>
              <w:rPr>
                <w:sz w:val="18"/>
                <w:szCs w:val="18"/>
              </w:rPr>
              <w:t>0001[餐厅]</w:t>
            </w:r>
          </w:p>
        </w:tc>
        <w:tc>
          <w:tcPr>
            <w:gridSpan w:val="2"/>
            <w:vAlign w:val="center"/>
          </w:tcPr>
          <w:p w14:paraId="25BB1FD1">
            <w:pPr>
              <w:jc w:val="center"/>
              <w:rPr>
                <w:sz w:val="18"/>
                <w:szCs w:val="18"/>
              </w:rPr>
            </w:pPr>
            <w:r>
              <w:rPr>
                <w:sz w:val="18"/>
                <w:szCs w:val="18"/>
              </w:rPr>
              <w:t>餐厅</w:t>
            </w:r>
          </w:p>
        </w:tc>
        <w:tc>
          <w:tcPr>
            <w:gridSpan w:val="2"/>
            <w:vAlign w:val="center"/>
          </w:tcPr>
          <w:p w14:paraId="4E67DD6B">
            <w:pPr>
              <w:jc w:val="center"/>
              <w:rPr>
                <w:sz w:val="18"/>
                <w:szCs w:val="18"/>
              </w:rPr>
            </w:pPr>
            <w:r>
              <w:rPr>
                <w:sz w:val="18"/>
                <w:szCs w:val="18"/>
              </w:rPr>
              <w:t>IV</w:t>
            </w:r>
          </w:p>
        </w:tc>
        <w:tc>
          <w:tcPr>
            <w:vAlign w:val="center"/>
          </w:tcPr>
          <w:p w14:paraId="0C3526F4">
            <w:pPr>
              <w:jc w:val="center"/>
              <w:rPr>
                <w:sz w:val="18"/>
                <w:szCs w:val="18"/>
              </w:rPr>
            </w:pPr>
            <w:r>
              <w:rPr>
                <w:sz w:val="18"/>
                <w:szCs w:val="18"/>
              </w:rPr>
              <w:t>侧面</w:t>
            </w:r>
          </w:p>
        </w:tc>
        <w:tc>
          <w:tcPr>
            <w:gridSpan w:val="2"/>
            <w:vAlign w:val="center"/>
          </w:tcPr>
          <w:p w14:paraId="0F908245">
            <w:pPr>
              <w:jc w:val="center"/>
              <w:rPr>
                <w:sz w:val="18"/>
                <w:szCs w:val="18"/>
              </w:rPr>
            </w:pPr>
            <w:r>
              <w:rPr>
                <w:sz w:val="18"/>
                <w:szCs w:val="18"/>
              </w:rPr>
              <w:t>300</w:t>
            </w:r>
          </w:p>
        </w:tc>
        <w:tc>
          <w:tcPr>
            <w:vAlign w:val="center"/>
          </w:tcPr>
          <w:p w14:paraId="4684D82F">
            <w:pPr>
              <w:jc w:val="center"/>
              <w:rPr>
                <w:sz w:val="18"/>
                <w:szCs w:val="18"/>
              </w:rPr>
            </w:pPr>
            <w:r>
              <w:rPr>
                <w:sz w:val="18"/>
                <w:szCs w:val="18"/>
              </w:rPr>
              <w:t>618.97</w:t>
            </w:r>
          </w:p>
        </w:tc>
        <w:tc>
          <w:tcPr>
            <w:gridSpan w:val="2"/>
            <w:vAlign w:val="center"/>
          </w:tcPr>
          <w:p w14:paraId="70F463D9">
            <w:pPr>
              <w:jc w:val="center"/>
              <w:rPr>
                <w:sz w:val="18"/>
                <w:szCs w:val="18"/>
              </w:rPr>
            </w:pPr>
            <w:r>
              <w:rPr>
                <w:sz w:val="18"/>
                <w:szCs w:val="18"/>
              </w:rPr>
              <w:t>100</w:t>
            </w:r>
          </w:p>
        </w:tc>
        <w:tc>
          <w:tcPr>
            <w:vAlign w:val="center"/>
          </w:tcPr>
          <w:p w14:paraId="432883D2">
            <w:pPr>
              <w:jc w:val="center"/>
              <w:rPr>
                <w:sz w:val="18"/>
                <w:szCs w:val="18"/>
              </w:rPr>
            </w:pPr>
            <w:r>
              <w:rPr>
                <w:sz w:val="18"/>
                <w:szCs w:val="18"/>
              </w:rPr>
              <w:t>满足</w:t>
            </w:r>
          </w:p>
        </w:tc>
      </w:tr>
      <w:tr w14:paraId="60D683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767E2D2">
            <w:pPr>
              <w:jc w:val="center"/>
              <w:rPr>
                <w:sz w:val="18"/>
                <w:szCs w:val="18"/>
              </w:rPr>
            </w:pPr>
          </w:p>
        </w:tc>
        <w:tc>
          <w:tcPr>
            <w:gridSpan w:val="2"/>
            <w:vAlign w:val="center"/>
          </w:tcPr>
          <w:p w14:paraId="23CF6E86">
            <w:pPr>
              <w:jc w:val="center"/>
              <w:rPr>
                <w:sz w:val="18"/>
                <w:szCs w:val="18"/>
              </w:rPr>
            </w:pPr>
            <w:r>
              <w:rPr>
                <w:sz w:val="18"/>
                <w:szCs w:val="18"/>
              </w:rPr>
              <w:t>X008[休息室]</w:t>
            </w:r>
          </w:p>
        </w:tc>
        <w:tc>
          <w:tcPr>
            <w:gridSpan w:val="2"/>
            <w:vAlign w:val="center"/>
          </w:tcPr>
          <w:p w14:paraId="29DC55DD">
            <w:pPr>
              <w:jc w:val="center"/>
              <w:rPr>
                <w:sz w:val="18"/>
                <w:szCs w:val="18"/>
              </w:rPr>
            </w:pPr>
            <w:r>
              <w:rPr>
                <w:sz w:val="18"/>
                <w:szCs w:val="18"/>
              </w:rPr>
              <w:t>休息厅</w:t>
            </w:r>
          </w:p>
        </w:tc>
        <w:tc>
          <w:tcPr>
            <w:gridSpan w:val="2"/>
            <w:vAlign w:val="center"/>
          </w:tcPr>
          <w:p w14:paraId="409356A1">
            <w:pPr>
              <w:jc w:val="center"/>
              <w:rPr>
                <w:sz w:val="18"/>
                <w:szCs w:val="18"/>
              </w:rPr>
            </w:pPr>
            <w:r>
              <w:rPr>
                <w:sz w:val="18"/>
                <w:szCs w:val="18"/>
              </w:rPr>
              <w:t>IV</w:t>
            </w:r>
          </w:p>
        </w:tc>
        <w:tc>
          <w:tcPr>
            <w:vAlign w:val="center"/>
          </w:tcPr>
          <w:p w14:paraId="4A1A88CE">
            <w:pPr>
              <w:jc w:val="center"/>
              <w:rPr>
                <w:sz w:val="18"/>
                <w:szCs w:val="18"/>
              </w:rPr>
            </w:pPr>
            <w:r>
              <w:rPr>
                <w:sz w:val="18"/>
                <w:szCs w:val="18"/>
              </w:rPr>
              <w:t>侧面</w:t>
            </w:r>
          </w:p>
        </w:tc>
        <w:tc>
          <w:tcPr>
            <w:gridSpan w:val="2"/>
            <w:vAlign w:val="center"/>
          </w:tcPr>
          <w:p w14:paraId="5B900083">
            <w:pPr>
              <w:jc w:val="center"/>
              <w:rPr>
                <w:sz w:val="18"/>
                <w:szCs w:val="18"/>
              </w:rPr>
            </w:pPr>
            <w:r>
              <w:rPr>
                <w:sz w:val="18"/>
                <w:szCs w:val="18"/>
              </w:rPr>
              <w:t>300</w:t>
            </w:r>
          </w:p>
        </w:tc>
        <w:tc>
          <w:tcPr>
            <w:vAlign w:val="center"/>
          </w:tcPr>
          <w:p w14:paraId="31D656A0">
            <w:pPr>
              <w:jc w:val="center"/>
              <w:rPr>
                <w:sz w:val="18"/>
                <w:szCs w:val="18"/>
              </w:rPr>
            </w:pPr>
            <w:r>
              <w:rPr>
                <w:sz w:val="18"/>
                <w:szCs w:val="18"/>
              </w:rPr>
              <w:t>17.39</w:t>
            </w:r>
          </w:p>
        </w:tc>
        <w:tc>
          <w:tcPr>
            <w:gridSpan w:val="2"/>
            <w:vAlign w:val="center"/>
          </w:tcPr>
          <w:p w14:paraId="65300A9A">
            <w:pPr>
              <w:jc w:val="center"/>
              <w:rPr>
                <w:sz w:val="18"/>
                <w:szCs w:val="18"/>
              </w:rPr>
            </w:pPr>
            <w:r>
              <w:rPr>
                <w:sz w:val="18"/>
                <w:szCs w:val="18"/>
              </w:rPr>
              <w:t>100</w:t>
            </w:r>
          </w:p>
        </w:tc>
        <w:tc>
          <w:tcPr>
            <w:vAlign w:val="center"/>
          </w:tcPr>
          <w:p w14:paraId="6A402570">
            <w:pPr>
              <w:jc w:val="center"/>
              <w:rPr>
                <w:sz w:val="18"/>
                <w:szCs w:val="18"/>
              </w:rPr>
            </w:pPr>
            <w:r>
              <w:rPr>
                <w:sz w:val="18"/>
                <w:szCs w:val="18"/>
              </w:rPr>
              <w:t>满足</w:t>
            </w:r>
          </w:p>
        </w:tc>
      </w:tr>
      <w:tr w14:paraId="11185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5285A5FD">
            <w:pPr>
              <w:jc w:val="center"/>
            </w:pPr>
            <w:r>
              <w:t>房间类型</w:t>
            </w:r>
          </w:p>
        </w:tc>
        <w:tc>
          <w:tcPr>
            <w:gridSpan w:val="2"/>
            <w:shd w:val="clear" w:color="auto" w:fill="E6E6E6"/>
            <w:vAlign w:val="center"/>
          </w:tcPr>
          <w:p w14:paraId="34C4724F">
            <w:pPr>
              <w:jc w:val="center"/>
            </w:pPr>
            <w:r>
              <w:t>采光类型</w:t>
            </w:r>
          </w:p>
        </w:tc>
        <w:tc>
          <w:tcPr>
            <w:gridSpan w:val="2"/>
            <w:shd w:val="clear" w:color="auto" w:fill="E6E6E6"/>
            <w:vAlign w:val="center"/>
          </w:tcPr>
          <w:p w14:paraId="22D54713">
            <w:pPr>
              <w:jc w:val="center"/>
            </w:pPr>
            <w:r>
              <w:t>设计照度(Lx)</w:t>
            </w:r>
          </w:p>
        </w:tc>
        <w:tc>
          <w:tcPr>
            <w:gridSpan w:val="3"/>
            <w:shd w:val="clear" w:color="auto" w:fill="E6E6E6"/>
            <w:vAlign w:val="center"/>
          </w:tcPr>
          <w:p w14:paraId="1582BF63">
            <w:pPr>
              <w:jc w:val="center"/>
            </w:pPr>
            <w:r>
              <w:t>总面积(m2)</w:t>
            </w:r>
          </w:p>
        </w:tc>
        <w:tc>
          <w:tcPr>
            <w:gridSpan w:val="3"/>
            <w:shd w:val="clear" w:color="auto" w:fill="E6E6E6"/>
            <w:vAlign w:val="center"/>
          </w:tcPr>
          <w:p w14:paraId="7C6699F4">
            <w:pPr>
              <w:jc w:val="center"/>
            </w:pPr>
            <w:r>
              <w:t>达标面积比例(%)</w:t>
            </w:r>
          </w:p>
        </w:tc>
        <w:tc>
          <w:tcPr>
            <w:gridSpan w:val="3"/>
            <w:shd w:val="clear" w:color="auto" w:fill="E6E6E6"/>
            <w:vAlign w:val="center"/>
          </w:tcPr>
          <w:p w14:paraId="7A391947">
            <w:pPr>
              <w:jc w:val="center"/>
            </w:pPr>
            <w:r>
              <w:t>结论</w:t>
            </w:r>
          </w:p>
        </w:tc>
      </w:tr>
      <w:tr w14:paraId="4A717A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94D18D1">
            <w:pPr>
              <w:jc w:val="center"/>
            </w:pPr>
            <w:r>
              <w:t>办公室</w:t>
            </w:r>
          </w:p>
        </w:tc>
        <w:tc>
          <w:tcPr>
            <w:gridSpan w:val="2"/>
            <w:vAlign w:val="center"/>
          </w:tcPr>
          <w:p w14:paraId="2EC4D02C">
            <w:pPr>
              <w:jc w:val="center"/>
            </w:pPr>
            <w:r>
              <w:t>侧面</w:t>
            </w:r>
          </w:p>
        </w:tc>
        <w:tc>
          <w:tcPr>
            <w:gridSpan w:val="2"/>
            <w:vAlign w:val="center"/>
          </w:tcPr>
          <w:p w14:paraId="6AECC0CA">
            <w:pPr>
              <w:jc w:val="center"/>
            </w:pPr>
            <w:r>
              <w:t>450</w:t>
            </w:r>
          </w:p>
        </w:tc>
        <w:tc>
          <w:tcPr>
            <w:gridSpan w:val="3"/>
            <w:vAlign w:val="center"/>
          </w:tcPr>
          <w:p w14:paraId="715A138D">
            <w:pPr>
              <w:jc w:val="center"/>
            </w:pPr>
            <w:r>
              <w:t>95.72</w:t>
            </w:r>
          </w:p>
        </w:tc>
        <w:tc>
          <w:tcPr>
            <w:gridSpan w:val="3"/>
            <w:vAlign w:val="center"/>
          </w:tcPr>
          <w:p w14:paraId="28BD40B7">
            <w:pPr>
              <w:jc w:val="center"/>
            </w:pPr>
            <w:r>
              <w:t>100</w:t>
            </w:r>
          </w:p>
        </w:tc>
        <w:tc>
          <w:tcPr>
            <w:gridSpan w:val="3"/>
            <w:vAlign w:val="center"/>
          </w:tcPr>
          <w:p w14:paraId="5827400C">
            <w:pPr>
              <w:jc w:val="center"/>
            </w:pPr>
            <w:r>
              <w:t>满足</w:t>
            </w:r>
          </w:p>
        </w:tc>
      </w:tr>
      <w:tr w14:paraId="6ED527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F5535BD">
            <w:pPr>
              <w:jc w:val="center"/>
            </w:pPr>
            <w:r>
              <w:t>登录厅</w:t>
            </w:r>
          </w:p>
        </w:tc>
        <w:tc>
          <w:tcPr>
            <w:gridSpan w:val="2"/>
            <w:vAlign w:val="center"/>
          </w:tcPr>
          <w:p w14:paraId="2E42A220">
            <w:pPr>
              <w:jc w:val="center"/>
            </w:pPr>
            <w:r>
              <w:t>侧面</w:t>
            </w:r>
          </w:p>
        </w:tc>
        <w:tc>
          <w:tcPr>
            <w:gridSpan w:val="2"/>
            <w:vAlign w:val="center"/>
          </w:tcPr>
          <w:p w14:paraId="0D074E80">
            <w:pPr>
              <w:jc w:val="center"/>
            </w:pPr>
            <w:r>
              <w:t>300</w:t>
            </w:r>
          </w:p>
        </w:tc>
        <w:tc>
          <w:tcPr>
            <w:gridSpan w:val="3"/>
            <w:vAlign w:val="center"/>
          </w:tcPr>
          <w:p w14:paraId="5226E7EF">
            <w:pPr>
              <w:jc w:val="center"/>
            </w:pPr>
            <w:r>
              <w:t>391.53</w:t>
            </w:r>
          </w:p>
        </w:tc>
        <w:tc>
          <w:tcPr>
            <w:gridSpan w:val="3"/>
            <w:vAlign w:val="center"/>
          </w:tcPr>
          <w:p w14:paraId="233D43AD">
            <w:pPr>
              <w:jc w:val="center"/>
            </w:pPr>
            <w:r>
              <w:t>100</w:t>
            </w:r>
          </w:p>
        </w:tc>
        <w:tc>
          <w:tcPr>
            <w:gridSpan w:val="3"/>
            <w:vAlign w:val="center"/>
          </w:tcPr>
          <w:p w14:paraId="04D5D767">
            <w:pPr>
              <w:jc w:val="center"/>
            </w:pPr>
            <w:r>
              <w:t>满足</w:t>
            </w:r>
          </w:p>
        </w:tc>
      </w:tr>
      <w:tr w14:paraId="347A0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A3A3974">
            <w:pPr>
              <w:jc w:val="center"/>
            </w:pPr>
            <w:r>
              <w:t>展厅（单层及顶层）</w:t>
            </w:r>
          </w:p>
        </w:tc>
        <w:tc>
          <w:tcPr>
            <w:gridSpan w:val="2"/>
            <w:vAlign w:val="center"/>
          </w:tcPr>
          <w:p w14:paraId="194E7199">
            <w:pPr>
              <w:jc w:val="center"/>
            </w:pPr>
            <w:r>
              <w:t>侧面</w:t>
            </w:r>
          </w:p>
        </w:tc>
        <w:tc>
          <w:tcPr>
            <w:gridSpan w:val="2"/>
            <w:vAlign w:val="center"/>
          </w:tcPr>
          <w:p w14:paraId="66CED01C">
            <w:pPr>
              <w:jc w:val="center"/>
            </w:pPr>
            <w:r>
              <w:t>450</w:t>
            </w:r>
          </w:p>
        </w:tc>
        <w:tc>
          <w:tcPr>
            <w:gridSpan w:val="3"/>
            <w:vAlign w:val="center"/>
          </w:tcPr>
          <w:p w14:paraId="184C181F">
            <w:pPr>
              <w:jc w:val="center"/>
            </w:pPr>
            <w:r>
              <w:t>95.72</w:t>
            </w:r>
          </w:p>
        </w:tc>
        <w:tc>
          <w:tcPr>
            <w:gridSpan w:val="3"/>
            <w:vAlign w:val="center"/>
          </w:tcPr>
          <w:p w14:paraId="614FC4B4">
            <w:pPr>
              <w:jc w:val="center"/>
            </w:pPr>
            <w:r>
              <w:t>100</w:t>
            </w:r>
          </w:p>
        </w:tc>
        <w:tc>
          <w:tcPr>
            <w:gridSpan w:val="3"/>
            <w:vAlign w:val="center"/>
          </w:tcPr>
          <w:p w14:paraId="4D2978DD">
            <w:pPr>
              <w:jc w:val="center"/>
            </w:pPr>
            <w:r>
              <w:t>满足</w:t>
            </w:r>
          </w:p>
        </w:tc>
      </w:tr>
      <w:tr w14:paraId="2B1F4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F0733ED">
            <w:pPr>
              <w:jc w:val="center"/>
            </w:pPr>
            <w:r>
              <w:t>休息厅</w:t>
            </w:r>
          </w:p>
        </w:tc>
        <w:tc>
          <w:tcPr>
            <w:gridSpan w:val="2"/>
            <w:vAlign w:val="center"/>
          </w:tcPr>
          <w:p w14:paraId="7877C3D1">
            <w:pPr>
              <w:jc w:val="center"/>
            </w:pPr>
            <w:r>
              <w:t>侧面</w:t>
            </w:r>
          </w:p>
        </w:tc>
        <w:tc>
          <w:tcPr>
            <w:gridSpan w:val="2"/>
            <w:vAlign w:val="center"/>
          </w:tcPr>
          <w:p w14:paraId="2A863DB5">
            <w:pPr>
              <w:jc w:val="center"/>
            </w:pPr>
            <w:r>
              <w:t>300</w:t>
            </w:r>
          </w:p>
        </w:tc>
        <w:tc>
          <w:tcPr>
            <w:gridSpan w:val="3"/>
            <w:vAlign w:val="center"/>
          </w:tcPr>
          <w:p w14:paraId="5F9A473F">
            <w:pPr>
              <w:jc w:val="center"/>
            </w:pPr>
            <w:r>
              <w:t>825.40</w:t>
            </w:r>
          </w:p>
        </w:tc>
        <w:tc>
          <w:tcPr>
            <w:gridSpan w:val="3"/>
            <w:vAlign w:val="center"/>
          </w:tcPr>
          <w:p w14:paraId="4485E2D7">
            <w:pPr>
              <w:jc w:val="center"/>
            </w:pPr>
            <w:r>
              <w:t>100</w:t>
            </w:r>
          </w:p>
        </w:tc>
        <w:tc>
          <w:tcPr>
            <w:gridSpan w:val="3"/>
            <w:vAlign w:val="center"/>
          </w:tcPr>
          <w:p w14:paraId="7598A3C3">
            <w:pPr>
              <w:jc w:val="center"/>
            </w:pPr>
            <w:r>
              <w:t>满足</w:t>
            </w:r>
          </w:p>
        </w:tc>
      </w:tr>
      <w:tr w14:paraId="07645A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1D586A61">
            <w:pPr>
              <w:jc w:val="center"/>
            </w:pPr>
            <w:r>
              <w:t>餐厅</w:t>
            </w:r>
          </w:p>
        </w:tc>
        <w:tc>
          <w:tcPr>
            <w:gridSpan w:val="2"/>
            <w:vAlign w:val="center"/>
          </w:tcPr>
          <w:p w14:paraId="71201EBF">
            <w:pPr>
              <w:jc w:val="center"/>
            </w:pPr>
            <w:r>
              <w:t>侧面</w:t>
            </w:r>
          </w:p>
        </w:tc>
        <w:tc>
          <w:tcPr>
            <w:gridSpan w:val="2"/>
            <w:vAlign w:val="center"/>
          </w:tcPr>
          <w:p w14:paraId="7A9D83D6">
            <w:pPr>
              <w:jc w:val="center"/>
            </w:pPr>
            <w:r>
              <w:t>300</w:t>
            </w:r>
          </w:p>
        </w:tc>
        <w:tc>
          <w:tcPr>
            <w:gridSpan w:val="3"/>
            <w:vAlign w:val="center"/>
          </w:tcPr>
          <w:p w14:paraId="66AE50DB">
            <w:pPr>
              <w:jc w:val="center"/>
            </w:pPr>
            <w:r>
              <w:t>618.97</w:t>
            </w:r>
          </w:p>
        </w:tc>
        <w:tc>
          <w:tcPr>
            <w:gridSpan w:val="3"/>
            <w:vAlign w:val="center"/>
          </w:tcPr>
          <w:p w14:paraId="3604EE66">
            <w:pPr>
              <w:jc w:val="center"/>
            </w:pPr>
            <w:r>
              <w:t>100</w:t>
            </w:r>
          </w:p>
        </w:tc>
        <w:tc>
          <w:tcPr>
            <w:gridSpan w:val="3"/>
            <w:vAlign w:val="center"/>
          </w:tcPr>
          <w:p w14:paraId="283B9F89">
            <w:pPr>
              <w:jc w:val="center"/>
            </w:pPr>
            <w:r>
              <w:t>满足</w:t>
            </w:r>
          </w:p>
        </w:tc>
      </w:tr>
      <w:tr w14:paraId="4376AA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7CE1B0E3">
            <w:pPr>
              <w:jc w:val="center"/>
            </w:pPr>
            <w:r>
              <w:t>多区域面积加权平均</w:t>
            </w:r>
          </w:p>
        </w:tc>
        <w:tc>
          <w:tcPr>
            <w:gridSpan w:val="3"/>
            <w:vAlign w:val="center"/>
          </w:tcPr>
          <w:p w14:paraId="6FC626DD">
            <w:pPr>
              <w:jc w:val="center"/>
            </w:pPr>
            <w:r>
              <w:t>100</w:t>
            </w:r>
          </w:p>
        </w:tc>
        <w:tc>
          <w:tcPr>
            <w:gridSpan w:val="3"/>
            <w:vAlign w:val="center"/>
          </w:tcPr>
          <w:p w14:paraId="0FA05F22">
            <w:pPr>
              <w:jc w:val="center"/>
            </w:pPr>
            <w:r>
              <w:rPr>
                <w:b/>
              </w:rPr>
              <w:t>9分</w:t>
            </w:r>
          </w:p>
        </w:tc>
      </w:tr>
    </w:tbl>
    <w:p w14:paraId="57DAB0CF">
      <w:pPr>
        <w:pStyle w:val="3"/>
        <w:jc w:val="center"/>
        <w:rPr>
          <w:rFonts w:hint="eastAsia"/>
          <w:sz w:val="18"/>
          <w:szCs w:val="18"/>
          <w:lang w:val="en-US"/>
        </w:rPr>
      </w:pPr>
      <w:bookmarkStart w:id="87" w:name="达标率表格"/>
      <w:bookmarkEnd w:id="87"/>
    </w:p>
    <w:p w14:paraId="4E5F4A04">
      <w:pPr>
        <w:pStyle w:val="2"/>
        <w:rPr>
          <w:rFonts w:hint="eastAsia" w:ascii="微软雅黑" w:hAnsi="微软雅黑"/>
        </w:rPr>
      </w:pPr>
      <w:bookmarkStart w:id="88" w:name="_Toc513555457"/>
      <w:bookmarkStart w:id="89" w:name="_Toc38990802"/>
      <w:bookmarkStart w:id="90" w:name="_Toc21845"/>
      <w:r>
        <w:rPr>
          <w:rFonts w:hint="eastAsia" w:ascii="微软雅黑" w:hAnsi="微软雅黑"/>
        </w:rPr>
        <w:t>动态采光</w:t>
      </w:r>
      <w:bookmarkEnd w:id="88"/>
      <w:r>
        <w:rPr>
          <w:rFonts w:hint="eastAsia" w:ascii="微软雅黑" w:hAnsi="微软雅黑"/>
        </w:rPr>
        <w:t>统计图</w:t>
      </w:r>
      <w:bookmarkEnd w:id="89"/>
      <w:bookmarkEnd w:id="90"/>
    </w:p>
    <w:p w14:paraId="38A756A4">
      <w:pPr>
        <w:pStyle w:val="3"/>
        <w:ind w:firstLine="420" w:firstLineChars="200"/>
        <w:rPr>
          <w:rFonts w:hint="eastAsia"/>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3BCB3212">
      <w:pPr>
        <w:pStyle w:val="3"/>
        <w:jc w:val="center"/>
        <w:rPr>
          <w:rFonts w:hint="eastAsia"/>
          <w:b/>
          <w:bCs/>
          <w:lang w:val="en-US"/>
        </w:rPr>
      </w:pPr>
      <w:bookmarkStart w:id="91" w:name="逐日统计图"/>
      <w:bookmarkEnd w:id="91"/>
      <w:r>
        <w:drawing>
          <wp:inline distT="0" distB="0" distL="0" distR="0">
            <wp:extent cx="5667375" cy="29337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9"/>
                    <a:stretch>
                      <a:fillRect/>
                    </a:stretch>
                  </pic:blipFill>
                  <pic:spPr>
                    <a:xfrm>
                      <a:off x="0" y="0"/>
                      <a:ext cx="5667375" cy="2933700"/>
                    </a:xfrm>
                    <a:prstGeom prst="rect">
                      <a:avLst/>
                    </a:prstGeom>
                  </pic:spPr>
                </pic:pic>
              </a:graphicData>
            </a:graphic>
          </wp:inline>
        </w:drawing>
      </w:r>
    </w:p>
    <w:p w14:paraId="7546E4FA">
      <w:pPr>
        <w:pStyle w:val="3"/>
        <w:jc w:val="center"/>
        <w:rPr>
          <w:rFonts w:hint="eastAsia"/>
          <w:lang w:val="en-US"/>
        </w:rPr>
      </w:pPr>
      <w:r>
        <w:rPr>
          <w:rFonts w:hint="eastAsia"/>
          <w:lang w:val="en-US"/>
        </w:rPr>
        <w:t>动态采光逐日统计图</w:t>
      </w:r>
    </w:p>
    <w:p w14:paraId="7B6D8EE6">
      <w:pPr>
        <w:pStyle w:val="3"/>
        <w:jc w:val="center"/>
        <w:rPr>
          <w:rFonts w:hint="eastAsia"/>
          <w:b/>
          <w:bCs/>
          <w:lang w:val="en-US"/>
        </w:rPr>
      </w:pPr>
      <w:bookmarkStart w:id="92" w:name="逐月统计图"/>
      <w:bookmarkEnd w:id="92"/>
      <w:r>
        <w:drawing>
          <wp:inline distT="0" distB="0" distL="0" distR="0">
            <wp:extent cx="5667375" cy="294322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0"/>
                    <a:stretch>
                      <a:fillRect/>
                    </a:stretch>
                  </pic:blipFill>
                  <pic:spPr>
                    <a:xfrm>
                      <a:off x="0" y="0"/>
                      <a:ext cx="5667375" cy="2943225"/>
                    </a:xfrm>
                    <a:prstGeom prst="rect">
                      <a:avLst/>
                    </a:prstGeom>
                  </pic:spPr>
                </pic:pic>
              </a:graphicData>
            </a:graphic>
          </wp:inline>
        </w:drawing>
      </w:r>
    </w:p>
    <w:p w14:paraId="600E4ACF">
      <w:pPr>
        <w:pStyle w:val="3"/>
        <w:jc w:val="center"/>
        <w:rPr>
          <w:rFonts w:hint="eastAsia"/>
          <w:lang w:val="en-US"/>
        </w:rPr>
      </w:pPr>
      <w:r>
        <w:rPr>
          <w:rFonts w:hint="eastAsia"/>
          <w:lang w:val="en-US"/>
        </w:rPr>
        <w:t>动态采光逐月统计图</w:t>
      </w:r>
    </w:p>
    <w:p w14:paraId="6B0BF3AC">
      <w:pPr>
        <w:pStyle w:val="2"/>
        <w:rPr>
          <w:rFonts w:hint="eastAsia" w:ascii="微软雅黑" w:hAnsi="微软雅黑"/>
        </w:rPr>
      </w:pPr>
      <w:bookmarkStart w:id="93" w:name="动态采光彩图"/>
      <w:bookmarkStart w:id="94" w:name="_Toc144901111"/>
      <w:bookmarkStart w:id="95" w:name="_Toc6007"/>
      <w:r>
        <w:rPr>
          <w:rFonts w:hint="eastAsia" w:ascii="微软雅黑" w:hAnsi="微软雅黑"/>
        </w:rPr>
        <w:t>动态采光彩图</w:t>
      </w:r>
      <w:bookmarkEnd w:id="93"/>
      <w:bookmarkEnd w:id="94"/>
      <w:bookmarkEnd w:id="95"/>
    </w:p>
    <w:p w14:paraId="448FFA0E">
      <w:pPr>
        <w:pStyle w:val="3"/>
        <w:jc w:val="center"/>
        <w:rPr>
          <w:rFonts w:hint="eastAsia"/>
          <w:b/>
          <w:bCs/>
          <w:lang w:val="en-US"/>
        </w:rPr>
      </w:pPr>
      <w:r>
        <w:drawing>
          <wp:inline distT="0" distB="0" distL="0" distR="0">
            <wp:extent cx="5667375" cy="31051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1"/>
                    <a:stretch>
                      <a:fillRect/>
                    </a:stretch>
                  </pic:blipFill>
                  <pic:spPr>
                    <a:xfrm>
                      <a:off x="0" y="0"/>
                      <a:ext cx="5667375" cy="3105150"/>
                    </a:xfrm>
                    <a:prstGeom prst="rect">
                      <a:avLst/>
                    </a:prstGeom>
                  </pic:spPr>
                </pic:pic>
              </a:graphicData>
            </a:graphic>
          </wp:inline>
        </w:drawing>
      </w:r>
    </w:p>
    <w:p w14:paraId="18A97962">
      <w:pPr>
        <w:pStyle w:val="3"/>
        <w:jc w:val="center"/>
        <w:rPr>
          <w:rFonts w:hint="eastAsia"/>
          <w:b/>
          <w:bCs/>
          <w:lang w:val="en-US"/>
        </w:rPr>
      </w:pPr>
      <w:r>
        <w:rPr>
          <w:rFonts w:hint="eastAsia"/>
          <w:b/>
          <w:bCs/>
          <w:lang w:val="en-US"/>
        </w:rPr>
        <w:t>1层</w:t>
      </w:r>
    </w:p>
    <w:p w14:paraId="428A1461">
      <w:pPr>
        <w:pStyle w:val="3"/>
        <w:jc w:val="center"/>
        <w:rPr>
          <w:rFonts w:hint="eastAsia"/>
          <w:b/>
          <w:bCs/>
          <w:lang w:val="en-US"/>
        </w:rPr>
      </w:pPr>
      <w:r>
        <w:drawing>
          <wp:inline distT="0" distB="0" distL="0" distR="0">
            <wp:extent cx="5667375" cy="52101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22"/>
                    <a:stretch>
                      <a:fillRect/>
                    </a:stretch>
                  </pic:blipFill>
                  <pic:spPr>
                    <a:xfrm>
                      <a:off x="0" y="0"/>
                      <a:ext cx="5667375" cy="5210175"/>
                    </a:xfrm>
                    <a:prstGeom prst="rect">
                      <a:avLst/>
                    </a:prstGeom>
                  </pic:spPr>
                </pic:pic>
              </a:graphicData>
            </a:graphic>
          </wp:inline>
        </w:drawing>
      </w:r>
    </w:p>
    <w:p w14:paraId="1958795E">
      <w:pPr>
        <w:pStyle w:val="3"/>
        <w:jc w:val="center"/>
        <w:rPr>
          <w:rFonts w:hint="eastAsia"/>
          <w:b/>
          <w:bCs/>
          <w:lang w:val="en-US"/>
        </w:rPr>
      </w:pPr>
      <w:r>
        <w:rPr>
          <w:rFonts w:hint="eastAsia"/>
          <w:b/>
          <w:bCs/>
          <w:lang w:val="en-US"/>
        </w:rPr>
        <w:t>2层</w:t>
      </w:r>
    </w:p>
    <w:p w14:paraId="28261B02">
      <w:pPr>
        <w:pStyle w:val="3"/>
        <w:jc w:val="center"/>
        <w:rPr>
          <w:rFonts w:hint="eastAsia"/>
          <w:b/>
          <w:bCs/>
          <w:lang w:val="en-US"/>
        </w:rPr>
      </w:pPr>
      <w:r>
        <w:drawing>
          <wp:inline distT="0" distB="0" distL="0" distR="0">
            <wp:extent cx="5667375" cy="52101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23"/>
                    <a:stretch>
                      <a:fillRect/>
                    </a:stretch>
                  </pic:blipFill>
                  <pic:spPr>
                    <a:xfrm>
                      <a:off x="0" y="0"/>
                      <a:ext cx="5667375" cy="5210175"/>
                    </a:xfrm>
                    <a:prstGeom prst="rect">
                      <a:avLst/>
                    </a:prstGeom>
                  </pic:spPr>
                </pic:pic>
              </a:graphicData>
            </a:graphic>
          </wp:inline>
        </w:drawing>
      </w:r>
    </w:p>
    <w:p w14:paraId="0F6E0962">
      <w:pPr>
        <w:pStyle w:val="3"/>
        <w:jc w:val="center"/>
        <w:rPr>
          <w:rFonts w:hint="eastAsia"/>
          <w:b/>
          <w:bCs/>
          <w:lang w:val="en-US"/>
        </w:rPr>
      </w:pPr>
      <w:r>
        <w:rPr>
          <w:rFonts w:hint="eastAsia"/>
          <w:b/>
          <w:bCs/>
          <w:lang w:val="en-US"/>
        </w:rPr>
        <w:t>3层</w:t>
      </w:r>
    </w:p>
    <w:p w14:paraId="13458A12">
      <w:pPr>
        <w:pStyle w:val="3"/>
        <w:jc w:val="center"/>
        <w:rPr>
          <w:rFonts w:hint="eastAsia"/>
          <w:b/>
          <w:bCs/>
          <w:lang w:val="en-US"/>
        </w:rPr>
      </w:pPr>
      <w:r>
        <w:drawing>
          <wp:inline distT="0" distB="0" distL="0" distR="0">
            <wp:extent cx="5667375" cy="525780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24"/>
                    <a:stretch>
                      <a:fillRect/>
                    </a:stretch>
                  </pic:blipFill>
                  <pic:spPr>
                    <a:xfrm>
                      <a:off x="0" y="0"/>
                      <a:ext cx="5667375" cy="5257800"/>
                    </a:xfrm>
                    <a:prstGeom prst="rect">
                      <a:avLst/>
                    </a:prstGeom>
                  </pic:spPr>
                </pic:pic>
              </a:graphicData>
            </a:graphic>
          </wp:inline>
        </w:drawing>
      </w:r>
    </w:p>
    <w:p w14:paraId="384986F6">
      <w:pPr>
        <w:pStyle w:val="3"/>
        <w:jc w:val="center"/>
        <w:rPr>
          <w:rFonts w:hint="eastAsia"/>
          <w:b/>
          <w:bCs/>
          <w:lang w:val="en-US"/>
        </w:rPr>
      </w:pPr>
      <w:r>
        <w:rPr>
          <w:rFonts w:hint="eastAsia"/>
          <w:b/>
          <w:bCs/>
          <w:lang w:val="en-US"/>
        </w:rPr>
        <w:t>4层</w:t>
      </w:r>
    </w:p>
    <w:p w14:paraId="109D7BCC">
      <w:pPr>
        <w:pStyle w:val="3"/>
        <w:jc w:val="center"/>
        <w:rPr>
          <w:rFonts w:hint="eastAsia"/>
          <w:b/>
          <w:bCs/>
          <w:lang w:val="en-US"/>
        </w:rPr>
      </w:pPr>
    </w:p>
    <w:p w14:paraId="2A4AEF89">
      <w:pPr>
        <w:pStyle w:val="2"/>
        <w:rPr>
          <w:rFonts w:hint="eastAsia" w:ascii="微软雅黑" w:hAnsi="微软雅黑"/>
        </w:rPr>
      </w:pPr>
      <w:bookmarkStart w:id="96" w:name="_Toc4369"/>
      <w:r>
        <w:rPr>
          <w:rFonts w:hint="eastAsia" w:ascii="微软雅黑" w:hAnsi="微软雅黑"/>
        </w:rPr>
        <w:t>评价结论</w:t>
      </w:r>
      <w:bookmarkEnd w:id="96"/>
    </w:p>
    <w:p w14:paraId="6529A0AD">
      <w:pPr>
        <w:pStyle w:val="3"/>
        <w:ind w:firstLine="420" w:firstLineChars="200"/>
      </w:pPr>
      <w:bookmarkStart w:id="97" w:name="标准名称3"/>
      <w:r>
        <w:t>《绿色建筑评价标准》GB/T 50378-2019</w:t>
      </w:r>
      <w:bookmarkEnd w:id="97"/>
      <w:r>
        <w:t>的</w:t>
      </w:r>
      <w:r>
        <w:rPr>
          <w:rFonts w:hint="eastAsia"/>
        </w:rPr>
        <w:t>5</w:t>
      </w:r>
      <w:r>
        <w:t>.2.8条</w:t>
      </w:r>
      <w:r>
        <w:rPr>
          <w:rFonts w:hint="eastAsia"/>
        </w:rPr>
        <w:t>对住宅</w:t>
      </w:r>
      <w:r>
        <w:t>建筑主要功能房间的</w:t>
      </w:r>
      <w:r>
        <w:rPr>
          <w:rFonts w:hint="eastAsia"/>
        </w:rPr>
        <w:t>动态</w:t>
      </w:r>
      <w:r>
        <w:t>采光</w:t>
      </w:r>
      <w:r>
        <w:rPr>
          <w:rFonts w:hint="eastAsia"/>
          <w:lang w:val="en-US" w:eastAsia="zh-CN"/>
        </w:rPr>
        <w:t>指标</w:t>
      </w:r>
      <w:r>
        <w:rPr>
          <w:rFonts w:hint="eastAsia"/>
        </w:rPr>
        <w:t>作</w:t>
      </w:r>
      <w:r>
        <w:t>出要求。本项目</w:t>
      </w:r>
      <w:r>
        <w:rPr>
          <w:rFonts w:hint="eastAsia"/>
        </w:rPr>
        <w:t>对</w:t>
      </w:r>
      <w:r>
        <w:t>建筑室内空间</w:t>
      </w:r>
      <w:r>
        <w:rPr>
          <w:rFonts w:hint="eastAsia"/>
        </w:rPr>
        <w:t>进行</w:t>
      </w:r>
      <w:r>
        <w:t>全年</w:t>
      </w:r>
      <w:r>
        <w:rPr>
          <w:rFonts w:hint="eastAsia"/>
        </w:rPr>
        <w:t>动态采光分析，</w:t>
      </w:r>
      <w:r>
        <w:rPr>
          <w:rFonts w:hint="eastAsia"/>
          <w:lang w:val="en-US" w:eastAsia="zh-CN"/>
        </w:rPr>
        <w:t>统计结果</w:t>
      </w:r>
      <w:r>
        <w:rPr>
          <w:rFonts w:hint="eastAsia"/>
        </w:rPr>
        <w:t>如下</w:t>
      </w:r>
      <w:r>
        <w:t>所示：</w:t>
      </w:r>
    </w:p>
    <w:tbl>
      <w:tblPr>
        <w:tblStyle w:val="23"/>
        <w:tblW w:w="90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5"/>
        <w:gridCol w:w="2255"/>
        <w:gridCol w:w="2255"/>
        <w:gridCol w:w="2258"/>
      </w:tblGrid>
      <w:tr w14:paraId="6302F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255" w:type="dxa"/>
            <w:shd w:val="clear" w:color="auto" w:fill="E6E6E6"/>
            <w:vAlign w:val="center"/>
          </w:tcPr>
          <w:p w14:paraId="0905F05B">
            <w:pPr>
              <w:pStyle w:val="3"/>
              <w:jc w:val="center"/>
              <w:rPr>
                <w:rFonts w:hint="eastAsia"/>
              </w:rPr>
            </w:pPr>
            <w:r>
              <w:t>采光总面积（</w:t>
            </w:r>
            <w:r>
              <w:rPr>
                <w:rFonts w:hint="eastAsia"/>
              </w:rPr>
              <w:t>m</w:t>
            </w:r>
            <w:r>
              <w:rPr>
                <w:vertAlign w:val="superscript"/>
              </w:rPr>
              <w:t>2</w:t>
            </w:r>
            <w:r>
              <w:t>）</w:t>
            </w:r>
          </w:p>
        </w:tc>
        <w:tc>
          <w:tcPr>
            <w:tcW w:w="2255" w:type="dxa"/>
            <w:shd w:val="clear" w:color="auto" w:fill="E6E6E6"/>
            <w:vAlign w:val="center"/>
          </w:tcPr>
          <w:p w14:paraId="43E28EED">
            <w:pPr>
              <w:pStyle w:val="3"/>
              <w:jc w:val="center"/>
              <w:rPr>
                <w:rFonts w:hint="eastAsia"/>
              </w:rPr>
            </w:pPr>
            <w:bookmarkStart w:id="98" w:name="动态评价指标"/>
            <w:r>
              <w:rPr>
                <w:rFonts w:hint="eastAsia"/>
              </w:rPr>
              <w:t>达标面积比例(%)</w:t>
            </w:r>
            <w:bookmarkEnd w:id="98"/>
          </w:p>
        </w:tc>
        <w:tc>
          <w:tcPr>
            <w:tcW w:w="2255" w:type="dxa"/>
            <w:shd w:val="clear" w:color="auto" w:fill="E6E6E6"/>
            <w:vAlign w:val="center"/>
          </w:tcPr>
          <w:p w14:paraId="6591F8F4">
            <w:pPr>
              <w:pStyle w:val="3"/>
              <w:jc w:val="center"/>
              <w:rPr>
                <w:rFonts w:hint="eastAsia"/>
              </w:rPr>
            </w:pPr>
            <w:r>
              <w:rPr>
                <w:rFonts w:hint="eastAsia"/>
              </w:rPr>
              <w:t>标准</w:t>
            </w:r>
            <w:r>
              <w:t>要求</w:t>
            </w:r>
            <w:r>
              <w:rPr>
                <w:rFonts w:hint="eastAsia"/>
              </w:rPr>
              <w:t>（</w:t>
            </w:r>
            <w:bookmarkStart w:id="99" w:name="动态评价指标单位"/>
            <w:r>
              <w:rPr>
                <w:rFonts w:hint="eastAsia"/>
              </w:rPr>
              <w:t>%</w:t>
            </w:r>
            <w:bookmarkEnd w:id="99"/>
            <w:r>
              <w:rPr>
                <w:rFonts w:hint="eastAsia"/>
              </w:rPr>
              <w:t>）</w:t>
            </w:r>
          </w:p>
        </w:tc>
        <w:tc>
          <w:tcPr>
            <w:tcW w:w="2258" w:type="dxa"/>
            <w:shd w:val="clear" w:color="auto" w:fill="E6E6E6"/>
            <w:vAlign w:val="center"/>
          </w:tcPr>
          <w:p w14:paraId="2C08A732">
            <w:pPr>
              <w:pStyle w:val="3"/>
              <w:jc w:val="center"/>
              <w:rPr>
                <w:rFonts w:hint="eastAsia"/>
              </w:rPr>
            </w:pPr>
            <w:r>
              <w:t>得分</w:t>
            </w:r>
          </w:p>
        </w:tc>
      </w:tr>
      <w:tr w14:paraId="464D6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255" w:type="dxa"/>
            <w:vAlign w:val="center"/>
          </w:tcPr>
          <w:p w14:paraId="04637CE0">
            <w:pPr>
              <w:pStyle w:val="3"/>
              <w:jc w:val="center"/>
              <w:rPr>
                <w:rFonts w:hint="eastAsia"/>
              </w:rPr>
            </w:pPr>
            <w:bookmarkStart w:id="100" w:name="采光面积"/>
            <w:r>
              <w:t>2027.34</w:t>
            </w:r>
            <w:bookmarkEnd w:id="100"/>
          </w:p>
        </w:tc>
        <w:tc>
          <w:tcPr>
            <w:tcW w:w="2255" w:type="dxa"/>
            <w:vAlign w:val="center"/>
          </w:tcPr>
          <w:p w14:paraId="77BA635B">
            <w:pPr>
              <w:pStyle w:val="3"/>
              <w:jc w:val="center"/>
              <w:rPr>
                <w:rFonts w:hint="eastAsia"/>
              </w:rPr>
            </w:pPr>
            <w:bookmarkStart w:id="101" w:name="平均时数"/>
            <w:r>
              <w:t>100</w:t>
            </w:r>
            <w:bookmarkEnd w:id="101"/>
          </w:p>
        </w:tc>
        <w:tc>
          <w:tcPr>
            <w:tcW w:w="2255" w:type="dxa"/>
            <w:vAlign w:val="center"/>
          </w:tcPr>
          <w:p w14:paraId="44828CEC">
            <w:pPr>
              <w:pStyle w:val="3"/>
              <w:jc w:val="center"/>
              <w:rPr>
                <w:rFonts w:hint="eastAsia"/>
              </w:rPr>
            </w:pPr>
            <w:bookmarkStart w:id="102" w:name="动态评价指标要求"/>
            <w:r>
              <w:t>60</w:t>
            </w:r>
            <w:bookmarkEnd w:id="102"/>
          </w:p>
        </w:tc>
        <w:tc>
          <w:tcPr>
            <w:tcW w:w="2258" w:type="dxa"/>
            <w:vAlign w:val="center"/>
          </w:tcPr>
          <w:p w14:paraId="5F65251B">
            <w:pPr>
              <w:pStyle w:val="3"/>
              <w:jc w:val="center"/>
              <w:rPr>
                <w:rFonts w:hint="eastAsia"/>
              </w:rPr>
            </w:pPr>
            <w:bookmarkStart w:id="103" w:name="动态采光得分"/>
            <w:r>
              <w:t>9</w:t>
            </w:r>
            <w:bookmarkEnd w:id="103"/>
          </w:p>
        </w:tc>
      </w:tr>
    </w:tbl>
    <w:p w14:paraId="21AE3CB6">
      <w:pPr>
        <w:pStyle w:val="3"/>
        <w:rPr>
          <w:rFonts w:hint="eastAsia"/>
          <w:lang w:val="en-US"/>
        </w:rPr>
      </w:pPr>
    </w:p>
    <w:p w14:paraId="04AB0010">
      <w:pPr>
        <w:spacing w:line="240" w:lineRule="auto"/>
        <w:jc w:val="left"/>
        <w:rPr>
          <w:rFonts w:hint="eastAsia"/>
          <w:b/>
          <w:sz w:val="28"/>
          <w:szCs w:val="28"/>
          <w:lang w:val="en-US"/>
        </w:rPr>
        <w:sectPr>
          <w:headerReference r:id="rId15" w:type="default"/>
          <w:pgSz w:w="11906" w:h="16838"/>
          <w:pgMar w:top="1440" w:right="1418" w:bottom="1440" w:left="1418" w:header="851" w:footer="992" w:gutter="0"/>
          <w:cols w:space="425" w:num="1"/>
          <w:docGrid w:type="lines" w:linePitch="312" w:charSpace="0"/>
        </w:sectPr>
      </w:pPr>
    </w:p>
    <w:p w14:paraId="252506D4">
      <w:pPr>
        <w:spacing w:line="240" w:lineRule="auto"/>
        <w:jc w:val="left"/>
        <w:rPr>
          <w:b/>
          <w:sz w:val="28"/>
          <w:szCs w:val="28"/>
          <w:lang w:val="en-US"/>
        </w:rPr>
      </w:pPr>
      <w:r>
        <w:rPr>
          <w:rFonts w:hint="eastAsia"/>
          <w:b/>
          <w:sz w:val="28"/>
          <w:szCs w:val="28"/>
          <w:lang w:val="en-US"/>
        </w:rPr>
        <w:t>附：项目总平面图</w:t>
      </w:r>
    </w:p>
    <w:p w14:paraId="1883C9DC">
      <w:pPr>
        <w:pStyle w:val="3"/>
        <w:jc w:val="center"/>
        <w:rPr>
          <w:sz w:val="28"/>
          <w:szCs w:val="28"/>
          <w:lang w:val="en-US"/>
        </w:rPr>
      </w:pPr>
      <w:bookmarkStart w:id="104" w:name="总平面图"/>
      <w:bookmarkEnd w:id="104"/>
      <w:r>
        <w:drawing>
          <wp:inline distT="0" distB="0" distL="0" distR="0">
            <wp:extent cx="5667375" cy="347662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25"/>
                    <a:stretch>
                      <a:fillRect/>
                    </a:stretch>
                  </pic:blipFill>
                  <pic:spPr>
                    <a:xfrm>
                      <a:off x="0" y="0"/>
                      <a:ext cx="5667375" cy="3476625"/>
                    </a:xfrm>
                    <a:prstGeom prst="rect">
                      <a:avLst/>
                    </a:prstGeom>
                  </pic:spPr>
                </pic:pic>
              </a:graphicData>
            </a:graphic>
          </wp:inline>
        </w:drawing>
      </w:r>
    </w:p>
    <w:p w14:paraId="4A1B8026">
      <w:pPr>
        <w:pStyle w:val="3"/>
        <w:jc w:val="center"/>
        <w:rPr>
          <w:sz w:val="28"/>
          <w:szCs w:val="28"/>
          <w:lang w:val="en-US"/>
        </w:rPr>
      </w:pPr>
    </w:p>
    <w:p w14:paraId="7BD6A19A">
      <w:pPr>
        <w:pStyle w:val="3"/>
        <w:rPr>
          <w:rFonts w:hint="eastAsia"/>
          <w:lang w:val="en-US"/>
        </w:rPr>
      </w:pPr>
    </w:p>
    <w:p w14:paraId="470DDCAB">
      <w:pPr>
        <w:pStyle w:val="3"/>
        <w:ind w:firstLine="420"/>
        <w:rPr>
          <w:rFonts w:hint="eastAsia"/>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2557D">
    <w:pPr>
      <w:pStyle w:val="17"/>
      <w:tabs>
        <w:tab w:val="center" w:pos="4535"/>
        <w:tab w:val="right" w:pos="9070"/>
        <w:tab w:val="clear" w:pos="4153"/>
        <w:tab w:val="clear" w:pos="8306"/>
      </w:tabs>
      <w:ind w:firstLine="420"/>
      <w:rPr>
        <w:rFonts w:hint="eastAsia"/>
      </w:rPr>
    </w:pPr>
    <w:r>
      <w:fldChar w:fldCharType="begin"/>
    </w:r>
    <w:r>
      <w:instrText xml:space="preserve"> HYPERLINK "http://www.gbsware.cn/" </w:instrText>
    </w:r>
    <w:r>
      <w:fldChar w:fldCharType="separate"/>
    </w:r>
    <w:r>
      <w:rPr>
        <w:rStyle w:val="28"/>
        <w:u w:val="none"/>
      </w:rPr>
      <w:t>http://www.gbsware.cn/</w:t>
    </w:r>
    <w:r>
      <w:rPr>
        <w:rStyle w:val="28"/>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5DD690B3">
    <w:pPr>
      <w:pStyle w:val="17"/>
      <w:ind w:firstLine="4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8080C">
    <w:pPr>
      <w:pStyle w:val="17"/>
      <w:ind w:firstLine="4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83764">
    <w:pPr>
      <w:pStyle w:val="17"/>
      <w:ind w:firstLine="42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95217">
    <w:pPr>
      <w:pStyle w:val="17"/>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1E202">
    <w:pPr>
      <w:pStyle w:val="17"/>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E5F98">
    <w:pPr>
      <w:pStyle w:val="17"/>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344D5">
    <w:pPr>
      <w:rPr>
        <w:rFonts w:hint="eastAsia"/>
      </w:rPr>
    </w:pP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E1334">
    <w:pPr>
      <w:pStyle w:val="18"/>
      <w:ind w:firstLine="42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EF394">
    <w:pPr>
      <w:pStyle w:val="18"/>
      <w:ind w:firstLine="420"/>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0868C">
    <w:pPr>
      <w:pStyle w:val="18"/>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081F2">
    <w:pPr>
      <w:pStyle w:val="18"/>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B85E9">
    <w:pPr>
      <w:pStyle w:val="18"/>
      <w:ind w:firstLine="420"/>
      <w:rPr>
        <w:rFonts w:hint="eastAsi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C19AB">
    <w:pPr>
      <w:pStyle w:val="18"/>
      <w:pBdr>
        <w:bottom w:val="single" w:color="auto" w:sz="6" w:space="2"/>
      </w:pBdr>
      <w:rPr>
        <w:rFonts w:hint="eastAsia" w:eastAsia="微软雅黑"/>
        <w:lang w:val="en-US" w:eastAsia="zh-CN"/>
      </w:rPr>
    </w:pPr>
    <w:r>
      <w:rPr>
        <w:lang w:val="en-US"/>
      </w:rPr>
      <w:drawing>
        <wp:inline distT="0" distB="0" distL="0" distR="0">
          <wp:extent cx="971550" cy="2571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rPr>
      <w:t>住宅建筑动态</w:t>
    </w:r>
    <w:r>
      <w:t>采光</w:t>
    </w:r>
    <w:r>
      <w:rPr>
        <w:rFonts w:hint="eastAsia"/>
        <w:lang w:val="en-US" w:eastAsia="zh-CN"/>
      </w:rPr>
      <w:t>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5496E22"/>
    <w:multiLevelType w:val="multilevel"/>
    <w:tmpl w:val="05496E22"/>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20797A65"/>
    <w:rsid w:val="00021A54"/>
    <w:rsid w:val="00022F54"/>
    <w:rsid w:val="00022FE4"/>
    <w:rsid w:val="0003015C"/>
    <w:rsid w:val="00035337"/>
    <w:rsid w:val="00037A4C"/>
    <w:rsid w:val="000405E9"/>
    <w:rsid w:val="000431C3"/>
    <w:rsid w:val="00045796"/>
    <w:rsid w:val="00047BEF"/>
    <w:rsid w:val="00047D27"/>
    <w:rsid w:val="00060BD8"/>
    <w:rsid w:val="000631B3"/>
    <w:rsid w:val="0006507C"/>
    <w:rsid w:val="00065CE6"/>
    <w:rsid w:val="0006695B"/>
    <w:rsid w:val="00070454"/>
    <w:rsid w:val="000725A9"/>
    <w:rsid w:val="00073250"/>
    <w:rsid w:val="000739BB"/>
    <w:rsid w:val="00073D32"/>
    <w:rsid w:val="00073E94"/>
    <w:rsid w:val="00075C7F"/>
    <w:rsid w:val="0007642D"/>
    <w:rsid w:val="000766CD"/>
    <w:rsid w:val="000805DC"/>
    <w:rsid w:val="00083475"/>
    <w:rsid w:val="00083664"/>
    <w:rsid w:val="00083FC5"/>
    <w:rsid w:val="000875FC"/>
    <w:rsid w:val="00090C82"/>
    <w:rsid w:val="000926EC"/>
    <w:rsid w:val="00093D81"/>
    <w:rsid w:val="00094B16"/>
    <w:rsid w:val="0009672C"/>
    <w:rsid w:val="000A6EC1"/>
    <w:rsid w:val="000A6F76"/>
    <w:rsid w:val="000A7482"/>
    <w:rsid w:val="000B2B33"/>
    <w:rsid w:val="000B51D1"/>
    <w:rsid w:val="000B7505"/>
    <w:rsid w:val="000B762E"/>
    <w:rsid w:val="000C09A6"/>
    <w:rsid w:val="000C2578"/>
    <w:rsid w:val="000C55FF"/>
    <w:rsid w:val="000C731C"/>
    <w:rsid w:val="000C735A"/>
    <w:rsid w:val="000D0ED5"/>
    <w:rsid w:val="000D17C2"/>
    <w:rsid w:val="000D1936"/>
    <w:rsid w:val="000D407B"/>
    <w:rsid w:val="000D4BC3"/>
    <w:rsid w:val="000D722D"/>
    <w:rsid w:val="000E3005"/>
    <w:rsid w:val="000E7850"/>
    <w:rsid w:val="000F1573"/>
    <w:rsid w:val="000F48FD"/>
    <w:rsid w:val="000F6B1C"/>
    <w:rsid w:val="000F7EF2"/>
    <w:rsid w:val="000F7FEF"/>
    <w:rsid w:val="00101764"/>
    <w:rsid w:val="0010266A"/>
    <w:rsid w:val="001037D7"/>
    <w:rsid w:val="00105DF2"/>
    <w:rsid w:val="001104AC"/>
    <w:rsid w:val="00110A51"/>
    <w:rsid w:val="00111340"/>
    <w:rsid w:val="00112680"/>
    <w:rsid w:val="001141E2"/>
    <w:rsid w:val="001146C5"/>
    <w:rsid w:val="00116D30"/>
    <w:rsid w:val="00117919"/>
    <w:rsid w:val="00122AE1"/>
    <w:rsid w:val="00130104"/>
    <w:rsid w:val="0013354E"/>
    <w:rsid w:val="00136346"/>
    <w:rsid w:val="00136510"/>
    <w:rsid w:val="001368FD"/>
    <w:rsid w:val="00140DF3"/>
    <w:rsid w:val="00141170"/>
    <w:rsid w:val="00145FA8"/>
    <w:rsid w:val="001463F5"/>
    <w:rsid w:val="0014776A"/>
    <w:rsid w:val="00150077"/>
    <w:rsid w:val="001511F2"/>
    <w:rsid w:val="00152AD1"/>
    <w:rsid w:val="00153ECB"/>
    <w:rsid w:val="001549CD"/>
    <w:rsid w:val="00170E95"/>
    <w:rsid w:val="0017134B"/>
    <w:rsid w:val="0017226C"/>
    <w:rsid w:val="001736B9"/>
    <w:rsid w:val="00180509"/>
    <w:rsid w:val="00180537"/>
    <w:rsid w:val="001811B7"/>
    <w:rsid w:val="00181F32"/>
    <w:rsid w:val="00191705"/>
    <w:rsid w:val="001927E8"/>
    <w:rsid w:val="00195963"/>
    <w:rsid w:val="00197C09"/>
    <w:rsid w:val="001A192D"/>
    <w:rsid w:val="001A213A"/>
    <w:rsid w:val="001A3588"/>
    <w:rsid w:val="001A3A15"/>
    <w:rsid w:val="001A4ACE"/>
    <w:rsid w:val="001A62E6"/>
    <w:rsid w:val="001B0878"/>
    <w:rsid w:val="001B08FF"/>
    <w:rsid w:val="001B6E89"/>
    <w:rsid w:val="001C4515"/>
    <w:rsid w:val="001C712C"/>
    <w:rsid w:val="001C7D6A"/>
    <w:rsid w:val="001D189D"/>
    <w:rsid w:val="001D7C6B"/>
    <w:rsid w:val="001E049F"/>
    <w:rsid w:val="001E157B"/>
    <w:rsid w:val="001E32B4"/>
    <w:rsid w:val="001F1D27"/>
    <w:rsid w:val="001F3D39"/>
    <w:rsid w:val="00201BD9"/>
    <w:rsid w:val="00202A21"/>
    <w:rsid w:val="002038AE"/>
    <w:rsid w:val="00203A7D"/>
    <w:rsid w:val="00204D80"/>
    <w:rsid w:val="00204DCA"/>
    <w:rsid w:val="00211C25"/>
    <w:rsid w:val="002126D4"/>
    <w:rsid w:val="00212D11"/>
    <w:rsid w:val="0021391C"/>
    <w:rsid w:val="002153DE"/>
    <w:rsid w:val="00215EE6"/>
    <w:rsid w:val="0022062D"/>
    <w:rsid w:val="002229C1"/>
    <w:rsid w:val="002236B3"/>
    <w:rsid w:val="00224948"/>
    <w:rsid w:val="002273F3"/>
    <w:rsid w:val="002312B9"/>
    <w:rsid w:val="00232B5E"/>
    <w:rsid w:val="002349F7"/>
    <w:rsid w:val="00241D4E"/>
    <w:rsid w:val="00244792"/>
    <w:rsid w:val="0025126F"/>
    <w:rsid w:val="00252857"/>
    <w:rsid w:val="0025362B"/>
    <w:rsid w:val="00254812"/>
    <w:rsid w:val="002555B8"/>
    <w:rsid w:val="00256840"/>
    <w:rsid w:val="00262505"/>
    <w:rsid w:val="00266C91"/>
    <w:rsid w:val="0027073D"/>
    <w:rsid w:val="0027523A"/>
    <w:rsid w:val="002824B7"/>
    <w:rsid w:val="00283BF0"/>
    <w:rsid w:val="002851FD"/>
    <w:rsid w:val="002933AC"/>
    <w:rsid w:val="00294F67"/>
    <w:rsid w:val="00294F7E"/>
    <w:rsid w:val="002A0187"/>
    <w:rsid w:val="002A2F2E"/>
    <w:rsid w:val="002A7369"/>
    <w:rsid w:val="002A79FB"/>
    <w:rsid w:val="002B2590"/>
    <w:rsid w:val="002B28BD"/>
    <w:rsid w:val="002B33BB"/>
    <w:rsid w:val="002B7899"/>
    <w:rsid w:val="002C17A2"/>
    <w:rsid w:val="002C225B"/>
    <w:rsid w:val="002C2F77"/>
    <w:rsid w:val="002C62E3"/>
    <w:rsid w:val="002D2BBC"/>
    <w:rsid w:val="002E5393"/>
    <w:rsid w:val="002E574B"/>
    <w:rsid w:val="002E5A01"/>
    <w:rsid w:val="002E6EE2"/>
    <w:rsid w:val="002E7C19"/>
    <w:rsid w:val="002F2A1B"/>
    <w:rsid w:val="0030437C"/>
    <w:rsid w:val="00305667"/>
    <w:rsid w:val="00310356"/>
    <w:rsid w:val="003113F4"/>
    <w:rsid w:val="003121F7"/>
    <w:rsid w:val="003123FB"/>
    <w:rsid w:val="00312B73"/>
    <w:rsid w:val="00314D29"/>
    <w:rsid w:val="00317C52"/>
    <w:rsid w:val="0032366D"/>
    <w:rsid w:val="00326E0C"/>
    <w:rsid w:val="00327F14"/>
    <w:rsid w:val="00330BA7"/>
    <w:rsid w:val="0033176E"/>
    <w:rsid w:val="00332086"/>
    <w:rsid w:val="00335211"/>
    <w:rsid w:val="00340EEC"/>
    <w:rsid w:val="00344114"/>
    <w:rsid w:val="003448C0"/>
    <w:rsid w:val="00350752"/>
    <w:rsid w:val="003537C0"/>
    <w:rsid w:val="0035421F"/>
    <w:rsid w:val="00355840"/>
    <w:rsid w:val="00356224"/>
    <w:rsid w:val="00356526"/>
    <w:rsid w:val="003569A9"/>
    <w:rsid w:val="0036330B"/>
    <w:rsid w:val="003642AC"/>
    <w:rsid w:val="00370E69"/>
    <w:rsid w:val="00370EA4"/>
    <w:rsid w:val="00372B49"/>
    <w:rsid w:val="00375CAF"/>
    <w:rsid w:val="00380AAF"/>
    <w:rsid w:val="00390296"/>
    <w:rsid w:val="00391613"/>
    <w:rsid w:val="00393106"/>
    <w:rsid w:val="003964EA"/>
    <w:rsid w:val="003A2B52"/>
    <w:rsid w:val="003A2CE1"/>
    <w:rsid w:val="003A3E76"/>
    <w:rsid w:val="003A5353"/>
    <w:rsid w:val="003A7CE6"/>
    <w:rsid w:val="003B1212"/>
    <w:rsid w:val="003B1331"/>
    <w:rsid w:val="003C056D"/>
    <w:rsid w:val="003C28C1"/>
    <w:rsid w:val="003C4EA8"/>
    <w:rsid w:val="003C5FD5"/>
    <w:rsid w:val="003C61FC"/>
    <w:rsid w:val="003D0076"/>
    <w:rsid w:val="003D11B4"/>
    <w:rsid w:val="003D1FC7"/>
    <w:rsid w:val="003D5C64"/>
    <w:rsid w:val="003E5087"/>
    <w:rsid w:val="003F27D2"/>
    <w:rsid w:val="003F60B9"/>
    <w:rsid w:val="003F66A9"/>
    <w:rsid w:val="00400053"/>
    <w:rsid w:val="004026C2"/>
    <w:rsid w:val="0040698B"/>
    <w:rsid w:val="00406B01"/>
    <w:rsid w:val="00413082"/>
    <w:rsid w:val="004140D4"/>
    <w:rsid w:val="004140D8"/>
    <w:rsid w:val="00417669"/>
    <w:rsid w:val="00420487"/>
    <w:rsid w:val="00420DBF"/>
    <w:rsid w:val="004217EB"/>
    <w:rsid w:val="0042654D"/>
    <w:rsid w:val="00426C2B"/>
    <w:rsid w:val="0043026A"/>
    <w:rsid w:val="00430DCC"/>
    <w:rsid w:val="004315D3"/>
    <w:rsid w:val="00431AD1"/>
    <w:rsid w:val="00432639"/>
    <w:rsid w:val="00433D62"/>
    <w:rsid w:val="0043492E"/>
    <w:rsid w:val="004355D4"/>
    <w:rsid w:val="0044029A"/>
    <w:rsid w:val="00443779"/>
    <w:rsid w:val="00443A24"/>
    <w:rsid w:val="00444C49"/>
    <w:rsid w:val="00454447"/>
    <w:rsid w:val="00455D17"/>
    <w:rsid w:val="0046665C"/>
    <w:rsid w:val="004732C6"/>
    <w:rsid w:val="0047512A"/>
    <w:rsid w:val="0047776A"/>
    <w:rsid w:val="00480320"/>
    <w:rsid w:val="004839C8"/>
    <w:rsid w:val="00484F65"/>
    <w:rsid w:val="00486B69"/>
    <w:rsid w:val="00486F6E"/>
    <w:rsid w:val="004A008B"/>
    <w:rsid w:val="004A39D3"/>
    <w:rsid w:val="004A5301"/>
    <w:rsid w:val="004B71DC"/>
    <w:rsid w:val="004C0601"/>
    <w:rsid w:val="004D230F"/>
    <w:rsid w:val="004D239D"/>
    <w:rsid w:val="004D449D"/>
    <w:rsid w:val="004D4831"/>
    <w:rsid w:val="004D53AB"/>
    <w:rsid w:val="004D7655"/>
    <w:rsid w:val="004E271C"/>
    <w:rsid w:val="004E362F"/>
    <w:rsid w:val="004E5DEA"/>
    <w:rsid w:val="004F0B9C"/>
    <w:rsid w:val="004F181A"/>
    <w:rsid w:val="004F221A"/>
    <w:rsid w:val="004F2B43"/>
    <w:rsid w:val="004F43B5"/>
    <w:rsid w:val="00502AB7"/>
    <w:rsid w:val="00504F54"/>
    <w:rsid w:val="005051EB"/>
    <w:rsid w:val="00506FA3"/>
    <w:rsid w:val="00507065"/>
    <w:rsid w:val="00511725"/>
    <w:rsid w:val="00512DFA"/>
    <w:rsid w:val="0051542F"/>
    <w:rsid w:val="0051646C"/>
    <w:rsid w:val="005215FB"/>
    <w:rsid w:val="00521623"/>
    <w:rsid w:val="005220CD"/>
    <w:rsid w:val="0052784E"/>
    <w:rsid w:val="00531BC0"/>
    <w:rsid w:val="00540B17"/>
    <w:rsid w:val="0054304B"/>
    <w:rsid w:val="005430C1"/>
    <w:rsid w:val="00543726"/>
    <w:rsid w:val="005449BD"/>
    <w:rsid w:val="00547052"/>
    <w:rsid w:val="005504B7"/>
    <w:rsid w:val="005530CE"/>
    <w:rsid w:val="00553454"/>
    <w:rsid w:val="0055385A"/>
    <w:rsid w:val="00553946"/>
    <w:rsid w:val="00555634"/>
    <w:rsid w:val="00555EF2"/>
    <w:rsid w:val="00556D80"/>
    <w:rsid w:val="00560CD5"/>
    <w:rsid w:val="00562B4A"/>
    <w:rsid w:val="00564846"/>
    <w:rsid w:val="00565B3E"/>
    <w:rsid w:val="00567A2E"/>
    <w:rsid w:val="00567DFC"/>
    <w:rsid w:val="005708AA"/>
    <w:rsid w:val="00570A92"/>
    <w:rsid w:val="0057139B"/>
    <w:rsid w:val="0057293E"/>
    <w:rsid w:val="00574E0C"/>
    <w:rsid w:val="005755BA"/>
    <w:rsid w:val="00580675"/>
    <w:rsid w:val="00580CDE"/>
    <w:rsid w:val="0058202E"/>
    <w:rsid w:val="005844A2"/>
    <w:rsid w:val="005849E9"/>
    <w:rsid w:val="00591D7B"/>
    <w:rsid w:val="005927FC"/>
    <w:rsid w:val="00593C10"/>
    <w:rsid w:val="00594914"/>
    <w:rsid w:val="00595E32"/>
    <w:rsid w:val="00596B0D"/>
    <w:rsid w:val="005A0064"/>
    <w:rsid w:val="005A3E34"/>
    <w:rsid w:val="005A606A"/>
    <w:rsid w:val="005B0295"/>
    <w:rsid w:val="005B2863"/>
    <w:rsid w:val="005B290E"/>
    <w:rsid w:val="005B370C"/>
    <w:rsid w:val="005C1293"/>
    <w:rsid w:val="005C5E53"/>
    <w:rsid w:val="005D14F5"/>
    <w:rsid w:val="005D6617"/>
    <w:rsid w:val="005E169C"/>
    <w:rsid w:val="005E4A1B"/>
    <w:rsid w:val="005E5442"/>
    <w:rsid w:val="005E5D67"/>
    <w:rsid w:val="005E6722"/>
    <w:rsid w:val="005E6DB2"/>
    <w:rsid w:val="005E76D6"/>
    <w:rsid w:val="005F5BA5"/>
    <w:rsid w:val="005F76EF"/>
    <w:rsid w:val="00603BD9"/>
    <w:rsid w:val="0061137B"/>
    <w:rsid w:val="00611A83"/>
    <w:rsid w:val="006142C8"/>
    <w:rsid w:val="0061684A"/>
    <w:rsid w:val="00616D08"/>
    <w:rsid w:val="00617087"/>
    <w:rsid w:val="006170E1"/>
    <w:rsid w:val="0062034E"/>
    <w:rsid w:val="0062232E"/>
    <w:rsid w:val="006240DC"/>
    <w:rsid w:val="00644B99"/>
    <w:rsid w:val="00652934"/>
    <w:rsid w:val="00653017"/>
    <w:rsid w:val="006544F4"/>
    <w:rsid w:val="00662B5E"/>
    <w:rsid w:val="006677F4"/>
    <w:rsid w:val="00667D84"/>
    <w:rsid w:val="00670B60"/>
    <w:rsid w:val="00671FB4"/>
    <w:rsid w:val="00676BC4"/>
    <w:rsid w:val="00681C5E"/>
    <w:rsid w:val="0068497A"/>
    <w:rsid w:val="00685B7F"/>
    <w:rsid w:val="00691729"/>
    <w:rsid w:val="0069401D"/>
    <w:rsid w:val="00694FCA"/>
    <w:rsid w:val="0069600F"/>
    <w:rsid w:val="00696156"/>
    <w:rsid w:val="006A2656"/>
    <w:rsid w:val="006A48C6"/>
    <w:rsid w:val="006A4F31"/>
    <w:rsid w:val="006B275A"/>
    <w:rsid w:val="006B54E7"/>
    <w:rsid w:val="006B628D"/>
    <w:rsid w:val="006C0BEE"/>
    <w:rsid w:val="006C2054"/>
    <w:rsid w:val="006C31C0"/>
    <w:rsid w:val="006C4730"/>
    <w:rsid w:val="006C6D88"/>
    <w:rsid w:val="006D01A7"/>
    <w:rsid w:val="006D0532"/>
    <w:rsid w:val="006D7C59"/>
    <w:rsid w:val="006E2DB9"/>
    <w:rsid w:val="006E4654"/>
    <w:rsid w:val="006E6085"/>
    <w:rsid w:val="006F1E82"/>
    <w:rsid w:val="006F480A"/>
    <w:rsid w:val="006F5AA3"/>
    <w:rsid w:val="006F673A"/>
    <w:rsid w:val="006F6958"/>
    <w:rsid w:val="0070016E"/>
    <w:rsid w:val="00700961"/>
    <w:rsid w:val="00702818"/>
    <w:rsid w:val="00702FB6"/>
    <w:rsid w:val="00704059"/>
    <w:rsid w:val="00720044"/>
    <w:rsid w:val="00720CD9"/>
    <w:rsid w:val="00722CF6"/>
    <w:rsid w:val="007250A6"/>
    <w:rsid w:val="00731CB0"/>
    <w:rsid w:val="00737BAF"/>
    <w:rsid w:val="0074389B"/>
    <w:rsid w:val="007535F4"/>
    <w:rsid w:val="0075470D"/>
    <w:rsid w:val="00760461"/>
    <w:rsid w:val="0076205C"/>
    <w:rsid w:val="007829A6"/>
    <w:rsid w:val="0078389D"/>
    <w:rsid w:val="00784B44"/>
    <w:rsid w:val="007859D0"/>
    <w:rsid w:val="007A2481"/>
    <w:rsid w:val="007A2817"/>
    <w:rsid w:val="007A7DF0"/>
    <w:rsid w:val="007B024E"/>
    <w:rsid w:val="007B1ED1"/>
    <w:rsid w:val="007B58BB"/>
    <w:rsid w:val="007B7859"/>
    <w:rsid w:val="007C0D61"/>
    <w:rsid w:val="007C324F"/>
    <w:rsid w:val="007D0E14"/>
    <w:rsid w:val="007D2688"/>
    <w:rsid w:val="007D56DE"/>
    <w:rsid w:val="007E0DA0"/>
    <w:rsid w:val="007E1FDA"/>
    <w:rsid w:val="007E39A8"/>
    <w:rsid w:val="007E3D1F"/>
    <w:rsid w:val="007F09EA"/>
    <w:rsid w:val="00800F96"/>
    <w:rsid w:val="00801632"/>
    <w:rsid w:val="008060C3"/>
    <w:rsid w:val="00806523"/>
    <w:rsid w:val="00807E87"/>
    <w:rsid w:val="00810B33"/>
    <w:rsid w:val="00814887"/>
    <w:rsid w:val="00815480"/>
    <w:rsid w:val="00816221"/>
    <w:rsid w:val="00816E9D"/>
    <w:rsid w:val="008336F8"/>
    <w:rsid w:val="0083639A"/>
    <w:rsid w:val="00837670"/>
    <w:rsid w:val="00840D90"/>
    <w:rsid w:val="008439F8"/>
    <w:rsid w:val="00850136"/>
    <w:rsid w:val="0085436B"/>
    <w:rsid w:val="00860C70"/>
    <w:rsid w:val="008704AB"/>
    <w:rsid w:val="00871FC0"/>
    <w:rsid w:val="0087441B"/>
    <w:rsid w:val="00874A7B"/>
    <w:rsid w:val="00881AE1"/>
    <w:rsid w:val="00883D6C"/>
    <w:rsid w:val="00886324"/>
    <w:rsid w:val="00887D57"/>
    <w:rsid w:val="00892594"/>
    <w:rsid w:val="008A1241"/>
    <w:rsid w:val="008A2EF5"/>
    <w:rsid w:val="008A54A0"/>
    <w:rsid w:val="008A6504"/>
    <w:rsid w:val="008B0CA0"/>
    <w:rsid w:val="008B13FF"/>
    <w:rsid w:val="008B15FA"/>
    <w:rsid w:val="008B7ADB"/>
    <w:rsid w:val="008C084F"/>
    <w:rsid w:val="008C1297"/>
    <w:rsid w:val="008C1F66"/>
    <w:rsid w:val="008C4AD8"/>
    <w:rsid w:val="008C66D5"/>
    <w:rsid w:val="008D31F9"/>
    <w:rsid w:val="008D35DA"/>
    <w:rsid w:val="008D4BEC"/>
    <w:rsid w:val="008D7168"/>
    <w:rsid w:val="008E2AB2"/>
    <w:rsid w:val="008E57C5"/>
    <w:rsid w:val="008F0010"/>
    <w:rsid w:val="008F5BF5"/>
    <w:rsid w:val="0090340B"/>
    <w:rsid w:val="00905F94"/>
    <w:rsid w:val="009168C0"/>
    <w:rsid w:val="00916F84"/>
    <w:rsid w:val="00924802"/>
    <w:rsid w:val="00925FCF"/>
    <w:rsid w:val="009363FF"/>
    <w:rsid w:val="009366C6"/>
    <w:rsid w:val="00943074"/>
    <w:rsid w:val="009503F3"/>
    <w:rsid w:val="0095123C"/>
    <w:rsid w:val="00952779"/>
    <w:rsid w:val="0095325A"/>
    <w:rsid w:val="0095484B"/>
    <w:rsid w:val="0096074B"/>
    <w:rsid w:val="00962F80"/>
    <w:rsid w:val="00963DB1"/>
    <w:rsid w:val="00965A34"/>
    <w:rsid w:val="00970F2D"/>
    <w:rsid w:val="009717B4"/>
    <w:rsid w:val="00973452"/>
    <w:rsid w:val="00975F79"/>
    <w:rsid w:val="0098285F"/>
    <w:rsid w:val="0098418E"/>
    <w:rsid w:val="00987822"/>
    <w:rsid w:val="00990F63"/>
    <w:rsid w:val="00991801"/>
    <w:rsid w:val="00991C61"/>
    <w:rsid w:val="00993CF2"/>
    <w:rsid w:val="009A15B5"/>
    <w:rsid w:val="009A58AE"/>
    <w:rsid w:val="009A6B0F"/>
    <w:rsid w:val="009B0122"/>
    <w:rsid w:val="009B0C40"/>
    <w:rsid w:val="009B7116"/>
    <w:rsid w:val="009C27EE"/>
    <w:rsid w:val="009C36BC"/>
    <w:rsid w:val="009C4AE6"/>
    <w:rsid w:val="009D4733"/>
    <w:rsid w:val="009D5AAC"/>
    <w:rsid w:val="009E6B81"/>
    <w:rsid w:val="009E7032"/>
    <w:rsid w:val="009F5016"/>
    <w:rsid w:val="009F5A35"/>
    <w:rsid w:val="009F5A95"/>
    <w:rsid w:val="009F7C95"/>
    <w:rsid w:val="00A0525F"/>
    <w:rsid w:val="00A05478"/>
    <w:rsid w:val="00A12783"/>
    <w:rsid w:val="00A177A6"/>
    <w:rsid w:val="00A22684"/>
    <w:rsid w:val="00A23E87"/>
    <w:rsid w:val="00A256C4"/>
    <w:rsid w:val="00A32590"/>
    <w:rsid w:val="00A355BD"/>
    <w:rsid w:val="00A357F7"/>
    <w:rsid w:val="00A42B8A"/>
    <w:rsid w:val="00A47443"/>
    <w:rsid w:val="00A47585"/>
    <w:rsid w:val="00A54726"/>
    <w:rsid w:val="00A57E38"/>
    <w:rsid w:val="00A60B63"/>
    <w:rsid w:val="00A660E6"/>
    <w:rsid w:val="00A73DF3"/>
    <w:rsid w:val="00A86476"/>
    <w:rsid w:val="00A90BB1"/>
    <w:rsid w:val="00A920E8"/>
    <w:rsid w:val="00A92636"/>
    <w:rsid w:val="00A94418"/>
    <w:rsid w:val="00A95E06"/>
    <w:rsid w:val="00A972F1"/>
    <w:rsid w:val="00AA1B8A"/>
    <w:rsid w:val="00AA2741"/>
    <w:rsid w:val="00AA2F2A"/>
    <w:rsid w:val="00AA34A2"/>
    <w:rsid w:val="00AA47FE"/>
    <w:rsid w:val="00AA7D07"/>
    <w:rsid w:val="00AB1AE2"/>
    <w:rsid w:val="00AB5182"/>
    <w:rsid w:val="00AB5572"/>
    <w:rsid w:val="00AD0888"/>
    <w:rsid w:val="00AD3FFC"/>
    <w:rsid w:val="00AE206F"/>
    <w:rsid w:val="00AE3F24"/>
    <w:rsid w:val="00AE6AF2"/>
    <w:rsid w:val="00AF050E"/>
    <w:rsid w:val="00AF0542"/>
    <w:rsid w:val="00AF06AD"/>
    <w:rsid w:val="00AF48DE"/>
    <w:rsid w:val="00B00FFB"/>
    <w:rsid w:val="00B102DE"/>
    <w:rsid w:val="00B1157E"/>
    <w:rsid w:val="00B11FD8"/>
    <w:rsid w:val="00B3131F"/>
    <w:rsid w:val="00B364B6"/>
    <w:rsid w:val="00B378CC"/>
    <w:rsid w:val="00B41640"/>
    <w:rsid w:val="00B45057"/>
    <w:rsid w:val="00B544DE"/>
    <w:rsid w:val="00B55B22"/>
    <w:rsid w:val="00B60841"/>
    <w:rsid w:val="00B61204"/>
    <w:rsid w:val="00B61490"/>
    <w:rsid w:val="00B61CD6"/>
    <w:rsid w:val="00B623AD"/>
    <w:rsid w:val="00B62EF2"/>
    <w:rsid w:val="00B70998"/>
    <w:rsid w:val="00B75B86"/>
    <w:rsid w:val="00B774E4"/>
    <w:rsid w:val="00B86B1C"/>
    <w:rsid w:val="00B9341B"/>
    <w:rsid w:val="00B93FA3"/>
    <w:rsid w:val="00B950DF"/>
    <w:rsid w:val="00BA3782"/>
    <w:rsid w:val="00BA4C10"/>
    <w:rsid w:val="00BA746C"/>
    <w:rsid w:val="00BB3B23"/>
    <w:rsid w:val="00BB64F7"/>
    <w:rsid w:val="00BC27C9"/>
    <w:rsid w:val="00BC3FE8"/>
    <w:rsid w:val="00BC7E25"/>
    <w:rsid w:val="00BD215F"/>
    <w:rsid w:val="00BD41E9"/>
    <w:rsid w:val="00BD47A9"/>
    <w:rsid w:val="00BD6F8E"/>
    <w:rsid w:val="00BD7DD2"/>
    <w:rsid w:val="00BE118E"/>
    <w:rsid w:val="00BE18AD"/>
    <w:rsid w:val="00BE1EC5"/>
    <w:rsid w:val="00BE4583"/>
    <w:rsid w:val="00BE71FF"/>
    <w:rsid w:val="00BF58FA"/>
    <w:rsid w:val="00BF5975"/>
    <w:rsid w:val="00BF7F2E"/>
    <w:rsid w:val="00C00B16"/>
    <w:rsid w:val="00C02ABE"/>
    <w:rsid w:val="00C1108F"/>
    <w:rsid w:val="00C127CA"/>
    <w:rsid w:val="00C12F41"/>
    <w:rsid w:val="00C14039"/>
    <w:rsid w:val="00C15244"/>
    <w:rsid w:val="00C22148"/>
    <w:rsid w:val="00C257AB"/>
    <w:rsid w:val="00C3168B"/>
    <w:rsid w:val="00C31D17"/>
    <w:rsid w:val="00C33D67"/>
    <w:rsid w:val="00C35EDC"/>
    <w:rsid w:val="00C3614F"/>
    <w:rsid w:val="00C37F41"/>
    <w:rsid w:val="00C44808"/>
    <w:rsid w:val="00C45C1D"/>
    <w:rsid w:val="00C50A87"/>
    <w:rsid w:val="00C52CCB"/>
    <w:rsid w:val="00C56EF0"/>
    <w:rsid w:val="00C57160"/>
    <w:rsid w:val="00C60B76"/>
    <w:rsid w:val="00C63237"/>
    <w:rsid w:val="00C661C3"/>
    <w:rsid w:val="00C67778"/>
    <w:rsid w:val="00C677CE"/>
    <w:rsid w:val="00C707A1"/>
    <w:rsid w:val="00C70F6A"/>
    <w:rsid w:val="00C722B3"/>
    <w:rsid w:val="00C72CFF"/>
    <w:rsid w:val="00C75795"/>
    <w:rsid w:val="00C8032E"/>
    <w:rsid w:val="00C832CC"/>
    <w:rsid w:val="00C851CF"/>
    <w:rsid w:val="00C85350"/>
    <w:rsid w:val="00C855E5"/>
    <w:rsid w:val="00C86CC9"/>
    <w:rsid w:val="00C958C6"/>
    <w:rsid w:val="00C95C03"/>
    <w:rsid w:val="00C95C32"/>
    <w:rsid w:val="00C9765F"/>
    <w:rsid w:val="00C97C2E"/>
    <w:rsid w:val="00C97E25"/>
    <w:rsid w:val="00CA48D1"/>
    <w:rsid w:val="00CA7AE3"/>
    <w:rsid w:val="00CB3702"/>
    <w:rsid w:val="00CB49CC"/>
    <w:rsid w:val="00CB6248"/>
    <w:rsid w:val="00CC0650"/>
    <w:rsid w:val="00CC1793"/>
    <w:rsid w:val="00CC196B"/>
    <w:rsid w:val="00CC6133"/>
    <w:rsid w:val="00CC74BC"/>
    <w:rsid w:val="00CC75D0"/>
    <w:rsid w:val="00CC771A"/>
    <w:rsid w:val="00CD01C9"/>
    <w:rsid w:val="00CD039C"/>
    <w:rsid w:val="00CD4869"/>
    <w:rsid w:val="00CD5F63"/>
    <w:rsid w:val="00CE28AA"/>
    <w:rsid w:val="00CE2DBC"/>
    <w:rsid w:val="00CE7112"/>
    <w:rsid w:val="00CF1874"/>
    <w:rsid w:val="00CF3694"/>
    <w:rsid w:val="00CF6917"/>
    <w:rsid w:val="00D02D59"/>
    <w:rsid w:val="00D02FD6"/>
    <w:rsid w:val="00D05B0B"/>
    <w:rsid w:val="00D062D7"/>
    <w:rsid w:val="00D06954"/>
    <w:rsid w:val="00D11B0F"/>
    <w:rsid w:val="00D11DAD"/>
    <w:rsid w:val="00D129BD"/>
    <w:rsid w:val="00D13652"/>
    <w:rsid w:val="00D1411A"/>
    <w:rsid w:val="00D2336A"/>
    <w:rsid w:val="00D264C0"/>
    <w:rsid w:val="00D31E80"/>
    <w:rsid w:val="00D36619"/>
    <w:rsid w:val="00D40158"/>
    <w:rsid w:val="00D42291"/>
    <w:rsid w:val="00D42589"/>
    <w:rsid w:val="00D43C46"/>
    <w:rsid w:val="00D55FBD"/>
    <w:rsid w:val="00D60976"/>
    <w:rsid w:val="00D62634"/>
    <w:rsid w:val="00D62A9A"/>
    <w:rsid w:val="00D65949"/>
    <w:rsid w:val="00D73139"/>
    <w:rsid w:val="00D74281"/>
    <w:rsid w:val="00D74A3F"/>
    <w:rsid w:val="00D80C28"/>
    <w:rsid w:val="00D81BC0"/>
    <w:rsid w:val="00D83E5D"/>
    <w:rsid w:val="00D85296"/>
    <w:rsid w:val="00D85A78"/>
    <w:rsid w:val="00D90009"/>
    <w:rsid w:val="00D91945"/>
    <w:rsid w:val="00D928BE"/>
    <w:rsid w:val="00DA543D"/>
    <w:rsid w:val="00DA6028"/>
    <w:rsid w:val="00DB1F7E"/>
    <w:rsid w:val="00DB29C3"/>
    <w:rsid w:val="00DB5D99"/>
    <w:rsid w:val="00DC08B7"/>
    <w:rsid w:val="00DC119F"/>
    <w:rsid w:val="00DC52B8"/>
    <w:rsid w:val="00DC73AD"/>
    <w:rsid w:val="00DD017C"/>
    <w:rsid w:val="00DD33B1"/>
    <w:rsid w:val="00DD3C92"/>
    <w:rsid w:val="00DD3F7F"/>
    <w:rsid w:val="00DD56FC"/>
    <w:rsid w:val="00DE15EB"/>
    <w:rsid w:val="00DE39CD"/>
    <w:rsid w:val="00DE48D2"/>
    <w:rsid w:val="00DE794D"/>
    <w:rsid w:val="00DE7EA5"/>
    <w:rsid w:val="00DF470C"/>
    <w:rsid w:val="00DF6E0F"/>
    <w:rsid w:val="00DF7D67"/>
    <w:rsid w:val="00E0006D"/>
    <w:rsid w:val="00E03D94"/>
    <w:rsid w:val="00E048B2"/>
    <w:rsid w:val="00E04BB6"/>
    <w:rsid w:val="00E06254"/>
    <w:rsid w:val="00E06368"/>
    <w:rsid w:val="00E068C9"/>
    <w:rsid w:val="00E12326"/>
    <w:rsid w:val="00E125AE"/>
    <w:rsid w:val="00E12AD1"/>
    <w:rsid w:val="00E12EC4"/>
    <w:rsid w:val="00E1430D"/>
    <w:rsid w:val="00E17240"/>
    <w:rsid w:val="00E17F17"/>
    <w:rsid w:val="00E200C4"/>
    <w:rsid w:val="00E207D7"/>
    <w:rsid w:val="00E20D1E"/>
    <w:rsid w:val="00E22381"/>
    <w:rsid w:val="00E23D22"/>
    <w:rsid w:val="00E24312"/>
    <w:rsid w:val="00E278C1"/>
    <w:rsid w:val="00E326C5"/>
    <w:rsid w:val="00E341D6"/>
    <w:rsid w:val="00E345A0"/>
    <w:rsid w:val="00E34789"/>
    <w:rsid w:val="00E3796F"/>
    <w:rsid w:val="00E41A99"/>
    <w:rsid w:val="00E50FE4"/>
    <w:rsid w:val="00E51CCF"/>
    <w:rsid w:val="00E5237D"/>
    <w:rsid w:val="00E55FF6"/>
    <w:rsid w:val="00E6123E"/>
    <w:rsid w:val="00E612BA"/>
    <w:rsid w:val="00E67432"/>
    <w:rsid w:val="00E73567"/>
    <w:rsid w:val="00E75360"/>
    <w:rsid w:val="00E7685A"/>
    <w:rsid w:val="00E81ACD"/>
    <w:rsid w:val="00E876F6"/>
    <w:rsid w:val="00E93153"/>
    <w:rsid w:val="00E93A2F"/>
    <w:rsid w:val="00E93DD8"/>
    <w:rsid w:val="00E94C32"/>
    <w:rsid w:val="00E950A3"/>
    <w:rsid w:val="00E95EC4"/>
    <w:rsid w:val="00EA09F1"/>
    <w:rsid w:val="00EA1413"/>
    <w:rsid w:val="00EA30AE"/>
    <w:rsid w:val="00EA3E1A"/>
    <w:rsid w:val="00EA54F6"/>
    <w:rsid w:val="00EB06BD"/>
    <w:rsid w:val="00EB160E"/>
    <w:rsid w:val="00EB2565"/>
    <w:rsid w:val="00EB27DC"/>
    <w:rsid w:val="00EB450B"/>
    <w:rsid w:val="00EB65C7"/>
    <w:rsid w:val="00EB7DB3"/>
    <w:rsid w:val="00EC1100"/>
    <w:rsid w:val="00EC17A5"/>
    <w:rsid w:val="00EC6294"/>
    <w:rsid w:val="00ED17E6"/>
    <w:rsid w:val="00ED3962"/>
    <w:rsid w:val="00ED5D36"/>
    <w:rsid w:val="00ED5F4E"/>
    <w:rsid w:val="00EE0F57"/>
    <w:rsid w:val="00EE1D68"/>
    <w:rsid w:val="00EF1307"/>
    <w:rsid w:val="00EF469A"/>
    <w:rsid w:val="00EF5D54"/>
    <w:rsid w:val="00F0686F"/>
    <w:rsid w:val="00F11B75"/>
    <w:rsid w:val="00F1217C"/>
    <w:rsid w:val="00F14F02"/>
    <w:rsid w:val="00F15E1F"/>
    <w:rsid w:val="00F1751A"/>
    <w:rsid w:val="00F20C9F"/>
    <w:rsid w:val="00F26211"/>
    <w:rsid w:val="00F26B6A"/>
    <w:rsid w:val="00F27AD2"/>
    <w:rsid w:val="00F32066"/>
    <w:rsid w:val="00F33F24"/>
    <w:rsid w:val="00F36433"/>
    <w:rsid w:val="00F4109F"/>
    <w:rsid w:val="00F41E78"/>
    <w:rsid w:val="00F42DDB"/>
    <w:rsid w:val="00F50C6E"/>
    <w:rsid w:val="00F51600"/>
    <w:rsid w:val="00F5218A"/>
    <w:rsid w:val="00F54AF7"/>
    <w:rsid w:val="00F61EF4"/>
    <w:rsid w:val="00F6461B"/>
    <w:rsid w:val="00F6582C"/>
    <w:rsid w:val="00F66DC8"/>
    <w:rsid w:val="00F712ED"/>
    <w:rsid w:val="00F71A07"/>
    <w:rsid w:val="00F75DD1"/>
    <w:rsid w:val="00F82D7F"/>
    <w:rsid w:val="00F863F6"/>
    <w:rsid w:val="00F86417"/>
    <w:rsid w:val="00F879AD"/>
    <w:rsid w:val="00F9138A"/>
    <w:rsid w:val="00F92266"/>
    <w:rsid w:val="00F959AF"/>
    <w:rsid w:val="00F972A6"/>
    <w:rsid w:val="00FA0F8E"/>
    <w:rsid w:val="00FA2A82"/>
    <w:rsid w:val="00FA4B87"/>
    <w:rsid w:val="00FB0817"/>
    <w:rsid w:val="00FB084F"/>
    <w:rsid w:val="00FB1375"/>
    <w:rsid w:val="00FB5124"/>
    <w:rsid w:val="00FB688E"/>
    <w:rsid w:val="00FC184A"/>
    <w:rsid w:val="00FC5270"/>
    <w:rsid w:val="00FC7BC5"/>
    <w:rsid w:val="00FD0B45"/>
    <w:rsid w:val="00FD0EF2"/>
    <w:rsid w:val="00FD1302"/>
    <w:rsid w:val="00FD19BB"/>
    <w:rsid w:val="00FD44EE"/>
    <w:rsid w:val="00FD6383"/>
    <w:rsid w:val="00FE749C"/>
    <w:rsid w:val="00FF14DB"/>
    <w:rsid w:val="00FF2243"/>
    <w:rsid w:val="00FF7BC1"/>
    <w:rsid w:val="0A1F5CC0"/>
    <w:rsid w:val="120222BC"/>
    <w:rsid w:val="20797A65"/>
    <w:rsid w:val="346024EB"/>
    <w:rsid w:val="43D4345C"/>
    <w:rsid w:val="63D66822"/>
    <w:rsid w:val="703776A5"/>
    <w:rsid w:val="7D366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18"/>
      <w:lang w:val="en-GB" w:eastAsia="zh-CN" w:bidi="ar-SA"/>
    </w:rPr>
  </w:style>
  <w:style w:type="paragraph" w:styleId="2">
    <w:name w:val="heading 1"/>
    <w:next w:val="3"/>
    <w:link w:val="41"/>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tabs>
        <w:tab w:val="left" w:pos="862"/>
        <w:tab w:val="clear" w:pos="578"/>
      </w:tabs>
      <w:kinsoku w:val="0"/>
      <w:spacing w:before="240" w:after="240"/>
      <w:ind w:left="862"/>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link w:val="42"/>
    <w:autoRedefine/>
    <w:qFormat/>
    <w:uiPriority w:val="0"/>
    <w:pPr>
      <w:keepNext/>
      <w:numPr>
        <w:ilvl w:val="2"/>
        <w:numId w:val="1"/>
      </w:numPr>
      <w:snapToGrid w:val="0"/>
      <w:spacing w:before="240" w:after="60"/>
      <w:ind w:left="0" w:firstLine="0"/>
      <w:outlineLvl w:val="2"/>
    </w:pPr>
    <w:rPr>
      <w:rFonts w:ascii="微软雅黑" w:hAnsi="微软雅黑"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37"/>
    <w:qFormat/>
    <w:uiPriority w:val="0"/>
  </w:style>
  <w:style w:type="paragraph" w:styleId="14">
    <w:name w:val="Body Text Indent"/>
    <w:basedOn w:val="1"/>
    <w:link w:val="30"/>
    <w:qFormat/>
    <w:uiPriority w:val="0"/>
    <w:pPr>
      <w:widowControl w:val="0"/>
      <w:spacing w:line="400" w:lineRule="exact"/>
      <w:ind w:firstLine="48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180" w:firstLineChars="100"/>
    </w:pPr>
    <w:rPr>
      <w:kern w:val="2"/>
      <w:szCs w:val="24"/>
      <w:lang w:val="en-US"/>
    </w:rPr>
  </w:style>
  <w:style w:type="paragraph" w:styleId="16">
    <w:name w:val="Balloon Text"/>
    <w:basedOn w:val="1"/>
    <w:link w:val="39"/>
    <w:qFormat/>
    <w:uiPriority w:val="0"/>
    <w:rPr>
      <w:szCs w:val="18"/>
    </w:rPr>
  </w:style>
  <w:style w:type="paragraph" w:styleId="17">
    <w:name w:val="footer"/>
    <w:basedOn w:val="1"/>
    <w:link w:val="34"/>
    <w:qFormat/>
    <w:uiPriority w:val="0"/>
    <w:pPr>
      <w:tabs>
        <w:tab w:val="center" w:pos="4153"/>
        <w:tab w:val="right" w:pos="8306"/>
      </w:tabs>
    </w:pPr>
    <w:rPr>
      <w:szCs w:val="18"/>
    </w:rPr>
  </w:style>
  <w:style w:type="paragraph" w:styleId="18">
    <w:name w:val="header"/>
    <w:basedOn w:val="1"/>
    <w:qFormat/>
    <w:uiPriority w:val="0"/>
    <w:pPr>
      <w:tabs>
        <w:tab w:val="center" w:pos="4153"/>
        <w:tab w:val="right" w:pos="8306"/>
      </w:tabs>
    </w:pPr>
    <w:rPr>
      <w:szCs w:val="18"/>
    </w:r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jc w:val="center"/>
    </w:pPr>
    <w:rPr>
      <w:kern w:val="2"/>
      <w:szCs w:val="24"/>
      <w:lang w:val="en-US"/>
    </w:rPr>
  </w:style>
  <w:style w:type="paragraph" w:styleId="21">
    <w:name w:val="Title"/>
    <w:basedOn w:val="1"/>
    <w:next w:val="1"/>
    <w:link w:val="43"/>
    <w:qFormat/>
    <w:uiPriority w:val="0"/>
    <w:pPr>
      <w:spacing w:before="240" w:after="60"/>
      <w:outlineLvl w:val="0"/>
    </w:pPr>
    <w:rPr>
      <w:rFonts w:eastAsia="宋体" w:asciiTheme="majorHAnsi" w:hAnsiTheme="majorHAnsi" w:cstheme="majorBidi"/>
      <w:b/>
      <w:bCs/>
      <w:sz w:val="32"/>
      <w:szCs w:val="32"/>
    </w:rPr>
  </w:style>
  <w:style w:type="paragraph" w:styleId="22">
    <w:name w:val="annotation subject"/>
    <w:basedOn w:val="13"/>
    <w:next w:val="13"/>
    <w:link w:val="38"/>
    <w:qFormat/>
    <w:uiPriority w:val="0"/>
    <w:rPr>
      <w:b/>
      <w:bCs/>
    </w:rPr>
  </w:style>
  <w:style w:type="table" w:styleId="24">
    <w:name w:val="Table Grid"/>
    <w:basedOn w:val="23"/>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FollowedHyperlink"/>
    <w:qFormat/>
    <w:uiPriority w:val="0"/>
    <w:rPr>
      <w:color w:val="800080"/>
      <w:u w:val="single"/>
    </w:rPr>
  </w:style>
  <w:style w:type="character" w:styleId="28">
    <w:name w:val="Hyperlink"/>
    <w:qFormat/>
    <w:uiPriority w:val="99"/>
    <w:rPr>
      <w:color w:val="0000FF"/>
      <w:u w:val="single"/>
    </w:rPr>
  </w:style>
  <w:style w:type="character" w:styleId="29">
    <w:name w:val="annotation reference"/>
    <w:qFormat/>
    <w:uiPriority w:val="0"/>
    <w:rPr>
      <w:sz w:val="21"/>
      <w:szCs w:val="21"/>
    </w:rPr>
  </w:style>
  <w:style w:type="character" w:customStyle="1" w:styleId="30">
    <w:name w:val="正文文本缩进 字符"/>
    <w:link w:val="14"/>
    <w:qFormat/>
    <w:uiPriority w:val="0"/>
    <w:rPr>
      <w:rFonts w:ascii="宋体" w:hAnsi="宋体" w:eastAsia="宋体"/>
      <w:kern w:val="2"/>
      <w:sz w:val="24"/>
      <w:szCs w:val="24"/>
      <w:lang w:val="en-US" w:eastAsia="zh-CN" w:bidi="ar-SA"/>
    </w:rPr>
  </w:style>
  <w:style w:type="paragraph" w:customStyle="1" w:styleId="31">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2">
    <w:name w:val="Char Char2"/>
    <w:qFormat/>
    <w:locked/>
    <w:uiPriority w:val="0"/>
    <w:rPr>
      <w:rFonts w:ascii="宋体" w:hAnsi="宋体" w:eastAsia="宋体"/>
      <w:kern w:val="2"/>
      <w:sz w:val="24"/>
      <w:szCs w:val="24"/>
      <w:lang w:val="en-US" w:eastAsia="zh-CN" w:bidi="ar-SA"/>
    </w:rPr>
  </w:style>
  <w:style w:type="character" w:customStyle="1" w:styleId="33">
    <w:name w:val="Char Char21"/>
    <w:qFormat/>
    <w:uiPriority w:val="0"/>
    <w:rPr>
      <w:rFonts w:ascii="宋体" w:hAnsi="宋体" w:eastAsia="宋体" w:cs="Times New Roman"/>
      <w:sz w:val="24"/>
      <w:szCs w:val="24"/>
    </w:rPr>
  </w:style>
  <w:style w:type="character" w:customStyle="1" w:styleId="34">
    <w:name w:val="页脚 字符"/>
    <w:link w:val="17"/>
    <w:qFormat/>
    <w:uiPriority w:val="0"/>
    <w:rPr>
      <w:rFonts w:eastAsia="宋体"/>
      <w:sz w:val="18"/>
      <w:szCs w:val="18"/>
      <w:lang w:val="en-GB" w:eastAsia="zh-CN" w:bidi="ar-SA"/>
    </w:rPr>
  </w:style>
  <w:style w:type="character" w:customStyle="1" w:styleId="35">
    <w:name w:val="Char Char1"/>
    <w:qFormat/>
    <w:uiPriority w:val="0"/>
    <w:rPr>
      <w:rFonts w:ascii="宋体" w:hAnsi="宋体" w:eastAsia="宋体"/>
      <w:kern w:val="2"/>
      <w:sz w:val="24"/>
      <w:szCs w:val="24"/>
      <w:lang w:val="en-US" w:eastAsia="zh-CN" w:bidi="ar-SA"/>
    </w:rPr>
  </w:style>
  <w:style w:type="character" w:customStyle="1" w:styleId="36">
    <w:name w:val="Char Char"/>
    <w:qFormat/>
    <w:locked/>
    <w:uiPriority w:val="0"/>
    <w:rPr>
      <w:rFonts w:ascii="宋体" w:hAnsi="宋体" w:eastAsia="宋体"/>
      <w:kern w:val="2"/>
      <w:sz w:val="24"/>
      <w:szCs w:val="24"/>
      <w:lang w:val="en-US" w:eastAsia="zh-CN" w:bidi="ar-SA"/>
    </w:rPr>
  </w:style>
  <w:style w:type="character" w:customStyle="1" w:styleId="37">
    <w:name w:val="批注文字 字符"/>
    <w:link w:val="13"/>
    <w:qFormat/>
    <w:uiPriority w:val="0"/>
    <w:rPr>
      <w:sz w:val="18"/>
      <w:lang w:val="en-GB"/>
    </w:rPr>
  </w:style>
  <w:style w:type="character" w:customStyle="1" w:styleId="38">
    <w:name w:val="批注主题 字符"/>
    <w:link w:val="22"/>
    <w:qFormat/>
    <w:uiPriority w:val="0"/>
    <w:rPr>
      <w:b/>
      <w:bCs/>
      <w:sz w:val="18"/>
      <w:lang w:val="en-GB"/>
    </w:rPr>
  </w:style>
  <w:style w:type="character" w:customStyle="1" w:styleId="39">
    <w:name w:val="批注框文本 字符"/>
    <w:link w:val="16"/>
    <w:qFormat/>
    <w:uiPriority w:val="0"/>
    <w:rPr>
      <w:sz w:val="18"/>
      <w:szCs w:val="18"/>
      <w:lang w:val="en-GB"/>
    </w:rPr>
  </w:style>
  <w:style w:type="paragraph" w:styleId="40">
    <w:name w:val="List Paragraph"/>
    <w:basedOn w:val="1"/>
    <w:qFormat/>
    <w:uiPriority w:val="34"/>
    <w:pPr>
      <w:ind w:firstLine="420"/>
    </w:pPr>
  </w:style>
  <w:style w:type="character" w:customStyle="1" w:styleId="41">
    <w:name w:val="标题 1 字符"/>
    <w:basedOn w:val="25"/>
    <w:link w:val="2"/>
    <w:qFormat/>
    <w:uiPriority w:val="0"/>
    <w:rPr>
      <w:rFonts w:eastAsia="微软雅黑"/>
      <w:b/>
      <w:bCs/>
      <w:kern w:val="32"/>
      <w:sz w:val="28"/>
      <w:szCs w:val="28"/>
    </w:rPr>
  </w:style>
  <w:style w:type="character" w:customStyle="1" w:styleId="42">
    <w:name w:val="标题 3 字符"/>
    <w:basedOn w:val="25"/>
    <w:link w:val="5"/>
    <w:qFormat/>
    <w:uiPriority w:val="0"/>
    <w:rPr>
      <w:rFonts w:ascii="微软雅黑" w:hAnsi="微软雅黑" w:eastAsia="微软雅黑" w:cs="Arial"/>
      <w:b/>
      <w:bCs/>
      <w:sz w:val="21"/>
      <w:szCs w:val="21"/>
    </w:rPr>
  </w:style>
  <w:style w:type="character" w:customStyle="1" w:styleId="43">
    <w:name w:val="标题 字符"/>
    <w:basedOn w:val="25"/>
    <w:link w:val="21"/>
    <w:qFormat/>
    <w:uiPriority w:val="0"/>
    <w:rPr>
      <w:rFonts w:asciiTheme="majorHAnsi" w:hAnsiTheme="majorHAnsi" w:cstheme="majorBidi"/>
      <w:b/>
      <w:bCs/>
      <w:sz w:val="32"/>
      <w:szCs w:val="32"/>
      <w:lang w:val="en-GB"/>
    </w:rPr>
  </w:style>
  <w:style w:type="paragraph" w:customStyle="1" w:styleId="44">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customXml" Target="../customXml/item1.xml"/><Relationship Id="rId26" Type="http://schemas.openxmlformats.org/officeDocument/2006/relationships/numbering" Target="numbering.xml"/><Relationship Id="rId25" Type="http://schemas.openxmlformats.org/officeDocument/2006/relationships/image" Target="media/image10.wmf"/><Relationship Id="rId24" Type="http://schemas.openxmlformats.org/officeDocument/2006/relationships/image" Target="media/image9.png"/><Relationship Id="rId23" Type="http://schemas.openxmlformats.org/officeDocument/2006/relationships/image" Target="media/image8.png"/><Relationship Id="rId22" Type="http://schemas.openxmlformats.org/officeDocument/2006/relationships/image" Target="media/image7.png"/><Relationship Id="rId21" Type="http://schemas.openxmlformats.org/officeDocument/2006/relationships/image" Target="media/image6.png"/><Relationship Id="rId20" Type="http://schemas.openxmlformats.org/officeDocument/2006/relationships/image" Target="media/image5.png"/><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bmp"/><Relationship Id="rId16" Type="http://schemas.openxmlformats.org/officeDocument/2006/relationships/theme" Target="theme/theme1.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lly\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CF6CE-E89D-4E00-A93E-5D2488613E82}">
  <ds:schemaRefs/>
</ds:datastoreItem>
</file>

<file path=docProps/app.xml><?xml version="1.0" encoding="utf-8"?>
<Properties xmlns="http://schemas.openxmlformats.org/officeDocument/2006/extended-properties" xmlns:vt="http://schemas.openxmlformats.org/officeDocument/2006/docPropsVTypes">
  <Template>tmp4.dotx</Template>
  <Pages>13</Pages>
  <Words>3278</Words>
  <Characters>4006</Characters>
  <Lines>31</Lines>
  <Paragraphs>8</Paragraphs>
  <TotalTime>0</TotalTime>
  <ScaleCrop>false</ScaleCrop>
  <LinksUpToDate>false</LinksUpToDate>
  <CharactersWithSpaces>5504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2026-03-25T04:13:00Z</dcterms:created>
  <dc:creator>WPS_1601546441</dc:creator>
  <cp:lastModifiedBy>WPS_1601546441</cp:lastModifiedBy>
  <dcterms:modified xsi:type="dcterms:W3CDTF">2026-03-25T04:13:58Z</dcterms:modified>
  <dc:title>住宅建筑动态采光计算书</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CDA4FB63CD634798871B2EE641C8BDBB_11</vt:lpwstr>
  </property>
  <property fmtid="{D5CDD505-2E9C-101B-9397-08002B2CF9AE}" pid="4" name="KSOTemplateDocerSaveRecord">
    <vt:lpwstr>eyJoZGlkIjoiOWFiZjJjYTNhY2IxMDMxZDljNTM5OWI5ZGViMTM4Y2YiLCJ1c2VySWQiOiIxMTI2NDY0NjQyIn0=</vt:lpwstr>
  </property>
</Properties>
</file>