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E85C3">
      <w:pPr>
        <w:pStyle w:val="17"/>
      </w:pPr>
    </w:p>
    <w:p w14:paraId="3E79678D">
      <w:pPr>
        <w:pStyle w:val="17"/>
      </w:pPr>
    </w:p>
    <w:p w14:paraId="24F334A8">
      <w:pPr>
        <w:pStyle w:val="17"/>
        <w:jc w:val="distribute"/>
        <w:rPr>
          <w:b/>
          <w:sz w:val="72"/>
          <w:szCs w:val="72"/>
        </w:rPr>
      </w:pPr>
      <w:r>
        <w:rPr>
          <w:rFonts w:hint="eastAsia"/>
          <w:b/>
          <w:sz w:val="72"/>
          <w:szCs w:val="72"/>
        </w:rPr>
        <w:t>室内气流组织分析报告</w:t>
      </w:r>
    </w:p>
    <w:p w14:paraId="34D5C7F7">
      <w:pPr>
        <w:pStyle w:val="52"/>
        <w:spacing w:line="400" w:lineRule="exact"/>
      </w:pPr>
    </w:p>
    <w:p w14:paraId="4C824192">
      <w:pPr>
        <w:pStyle w:val="52"/>
        <w:rPr>
          <w:b/>
        </w:rPr>
      </w:pPr>
      <w:bookmarkStart w:id="0" w:name="项目名称"/>
      <w:bookmarkEnd w:id="0"/>
    </w:p>
    <w:p w14:paraId="32D3B73E">
      <w:pPr>
        <w:pStyle w:val="52"/>
        <w:rPr>
          <w:b/>
        </w:rPr>
      </w:pPr>
      <w:r>
        <w:rPr>
          <w:rFonts w:hint="eastAsia"/>
          <w:b/>
        </w:rPr>
        <w:t>设计编号：</w:t>
      </w:r>
      <w:bookmarkStart w:id="1" w:name="设计编号"/>
      <w:bookmarkEnd w:id="1"/>
      <w:bookmarkStart w:id="90" w:name="_GoBack"/>
      <w:r>
        <w:rPr>
          <w:rFonts w:hint="eastAsia"/>
          <w:b/>
          <w:sz w:val="32"/>
          <w:szCs w:val="52"/>
        </w:rPr>
        <w:t>BKA80111</w:t>
      </w:r>
      <w:bookmarkEnd w:id="90"/>
    </w:p>
    <w:p w14:paraId="5916204F">
      <w:pPr>
        <w:pStyle w:val="52"/>
        <w:rPr>
          <w:b/>
        </w:rPr>
      </w:pPr>
    </w:p>
    <w:p w14:paraId="7EB07C55">
      <w:pPr>
        <w:pStyle w:val="17"/>
        <w:jc w:val="center"/>
      </w:pPr>
      <w:bookmarkStart w:id="2" w:name="二维码"/>
      <w:bookmarkEnd w:id="2"/>
      <w:r>
        <w:drawing>
          <wp:inline distT="0" distB="0" distL="0" distR="0">
            <wp:extent cx="1009650" cy="10096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2351ABC9">
      <w:pPr>
        <w:pStyle w:val="17"/>
        <w:jc w:val="center"/>
      </w:pPr>
    </w:p>
    <w:p w14:paraId="2DC6E1B9">
      <w:pPr>
        <w:pStyle w:val="17"/>
        <w:jc w:val="cente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752F7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978703B">
            <w:pPr>
              <w:pStyle w:val="17"/>
              <w:spacing w:line="600" w:lineRule="exact"/>
              <w:jc w:val="distribute"/>
            </w:pPr>
            <w:r>
              <w:rPr>
                <w:rFonts w:hint="eastAsia"/>
              </w:rPr>
              <w:t>工程地点</w:t>
            </w:r>
          </w:p>
        </w:tc>
        <w:tc>
          <w:tcPr>
            <w:tcW w:w="475" w:type="dxa"/>
            <w:vAlign w:val="center"/>
          </w:tcPr>
          <w:p w14:paraId="1674E7A0">
            <w:pPr>
              <w:pStyle w:val="17"/>
              <w:spacing w:line="600" w:lineRule="exact"/>
              <w:ind w:right="-31" w:rightChars="-15"/>
              <w:jc w:val="center"/>
            </w:pPr>
            <w:r>
              <w:rPr>
                <w:rFonts w:hint="eastAsia"/>
              </w:rPr>
              <w:t>：</w:t>
            </w:r>
          </w:p>
        </w:tc>
        <w:tc>
          <w:tcPr>
            <w:tcW w:w="4624" w:type="dxa"/>
            <w:tcBorders>
              <w:bottom w:val="single" w:color="auto" w:sz="4" w:space="0"/>
            </w:tcBorders>
            <w:vAlign w:val="center"/>
          </w:tcPr>
          <w:p w14:paraId="454E1FBF">
            <w:pPr>
              <w:pStyle w:val="16"/>
            </w:pPr>
            <w:bookmarkStart w:id="3" w:name="项目地点"/>
            <w:bookmarkStart w:id="4" w:name="工程地点"/>
            <w:r>
              <w:t>泉州</w:t>
            </w:r>
            <w:bookmarkEnd w:id="3"/>
            <w:bookmarkEnd w:id="4"/>
          </w:p>
        </w:tc>
      </w:tr>
      <w:tr w14:paraId="00FEB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D9C1547">
            <w:pPr>
              <w:pStyle w:val="17"/>
              <w:spacing w:line="600" w:lineRule="exact"/>
              <w:jc w:val="distribute"/>
            </w:pPr>
            <w:r>
              <w:rPr>
                <w:rFonts w:hint="eastAsia"/>
              </w:rPr>
              <w:t>建设单位</w:t>
            </w:r>
          </w:p>
        </w:tc>
        <w:tc>
          <w:tcPr>
            <w:tcW w:w="475" w:type="dxa"/>
            <w:vAlign w:val="center"/>
          </w:tcPr>
          <w:p w14:paraId="303443EE">
            <w:pPr>
              <w:pStyle w:val="17"/>
              <w:spacing w:line="600" w:lineRule="exact"/>
              <w:jc w:val="center"/>
            </w:pPr>
            <w:r>
              <w:rPr>
                <w:rFonts w:hint="eastAsia"/>
              </w:rPr>
              <w:t>：</w:t>
            </w:r>
          </w:p>
        </w:tc>
        <w:tc>
          <w:tcPr>
            <w:tcW w:w="4624" w:type="dxa"/>
            <w:tcBorders>
              <w:top w:val="single" w:color="auto" w:sz="4" w:space="0"/>
              <w:bottom w:val="single" w:color="auto" w:sz="4" w:space="0"/>
            </w:tcBorders>
            <w:shd w:val="clear"/>
            <w:vAlign w:val="center"/>
          </w:tcPr>
          <w:p w14:paraId="1658A032">
            <w:pPr>
              <w:pStyle w:val="16"/>
              <w:rPr>
                <w:rFonts w:ascii="微软雅黑" w:hAnsi="微软雅黑" w:eastAsia="微软雅黑" w:cs="微软雅黑"/>
                <w:sz w:val="24"/>
                <w:szCs w:val="24"/>
                <w:lang w:val="en-GB" w:eastAsia="zh-CN" w:bidi="ar-SA"/>
              </w:rPr>
            </w:pPr>
            <w:bookmarkStart w:id="5" w:name="建设单位"/>
            <w:bookmarkEnd w:id="5"/>
            <w:r>
              <w:rPr>
                <w:rFonts w:hint="eastAsia"/>
                <w:lang w:val="en-US" w:eastAsia="zh-CN"/>
              </w:rPr>
              <w:t>福建理工大学</w:t>
            </w:r>
          </w:p>
        </w:tc>
      </w:tr>
      <w:tr w14:paraId="5DB36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87AB941">
            <w:pPr>
              <w:pStyle w:val="17"/>
              <w:spacing w:line="600" w:lineRule="exact"/>
              <w:jc w:val="distribute"/>
            </w:pPr>
            <w:r>
              <w:rPr>
                <w:rFonts w:hint="eastAsia"/>
              </w:rPr>
              <w:t>设计单位</w:t>
            </w:r>
          </w:p>
        </w:tc>
        <w:tc>
          <w:tcPr>
            <w:tcW w:w="475" w:type="dxa"/>
            <w:vAlign w:val="center"/>
          </w:tcPr>
          <w:p w14:paraId="43EC2E28">
            <w:pPr>
              <w:pStyle w:val="17"/>
              <w:spacing w:line="600" w:lineRule="exact"/>
              <w:jc w:val="center"/>
            </w:pPr>
            <w:r>
              <w:rPr>
                <w:rFonts w:hint="eastAsia"/>
              </w:rPr>
              <w:t>：</w:t>
            </w:r>
          </w:p>
        </w:tc>
        <w:tc>
          <w:tcPr>
            <w:tcW w:w="4624" w:type="dxa"/>
            <w:tcBorders>
              <w:top w:val="single" w:color="auto" w:sz="4" w:space="0"/>
              <w:bottom w:val="single" w:color="auto" w:sz="4" w:space="0"/>
            </w:tcBorders>
            <w:shd w:val="clear"/>
            <w:vAlign w:val="center"/>
          </w:tcPr>
          <w:p w14:paraId="43A2342E">
            <w:pPr>
              <w:pStyle w:val="16"/>
              <w:rPr>
                <w:rFonts w:ascii="微软雅黑" w:hAnsi="微软雅黑" w:eastAsia="微软雅黑" w:cs="微软雅黑"/>
                <w:sz w:val="24"/>
                <w:szCs w:val="24"/>
                <w:lang w:val="en-GB" w:eastAsia="zh-CN" w:bidi="ar-SA"/>
              </w:rPr>
            </w:pPr>
            <w:bookmarkStart w:id="6" w:name="设计单位"/>
            <w:bookmarkEnd w:id="6"/>
            <w:r>
              <w:rPr>
                <w:rFonts w:hint="eastAsia"/>
                <w:lang w:val="en-US" w:eastAsia="zh-CN"/>
              </w:rPr>
              <w:t>建筑与城乡规划学院</w:t>
            </w:r>
          </w:p>
        </w:tc>
      </w:tr>
      <w:tr w14:paraId="3C1ED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5A1725A">
            <w:pPr>
              <w:pStyle w:val="17"/>
              <w:spacing w:line="600" w:lineRule="exact"/>
              <w:jc w:val="distribute"/>
            </w:pPr>
            <w:r>
              <w:rPr>
                <w:rFonts w:hint="eastAsia"/>
              </w:rPr>
              <w:t>设计人</w:t>
            </w:r>
          </w:p>
        </w:tc>
        <w:tc>
          <w:tcPr>
            <w:tcW w:w="475" w:type="dxa"/>
            <w:vAlign w:val="center"/>
          </w:tcPr>
          <w:p w14:paraId="0A61DA15">
            <w:pPr>
              <w:pStyle w:val="17"/>
              <w:spacing w:line="600" w:lineRule="exact"/>
              <w:jc w:val="center"/>
            </w:pPr>
            <w:r>
              <w:rPr>
                <w:rFonts w:hint="eastAsia"/>
              </w:rPr>
              <w:t>：</w:t>
            </w:r>
          </w:p>
        </w:tc>
        <w:tc>
          <w:tcPr>
            <w:tcW w:w="4624" w:type="dxa"/>
            <w:tcBorders>
              <w:top w:val="single" w:color="auto" w:sz="4" w:space="0"/>
              <w:bottom w:val="single" w:color="auto" w:sz="4" w:space="0"/>
            </w:tcBorders>
            <w:shd w:val="clear"/>
            <w:vAlign w:val="center"/>
          </w:tcPr>
          <w:p w14:paraId="4E4E0F92">
            <w:pPr>
              <w:pStyle w:val="16"/>
              <w:rPr>
                <w:rFonts w:ascii="微软雅黑" w:hAnsi="微软雅黑" w:eastAsia="微软雅黑" w:cs="微软雅黑"/>
                <w:sz w:val="24"/>
                <w:szCs w:val="24"/>
                <w:lang w:val="en-GB" w:eastAsia="zh-CN" w:bidi="ar-SA"/>
              </w:rPr>
            </w:pPr>
            <w:r>
              <w:rPr>
                <w:rFonts w:hint="eastAsia"/>
                <w:lang w:val="en-US" w:eastAsia="zh-CN"/>
              </w:rPr>
              <w:t>王中淮</w:t>
            </w:r>
          </w:p>
        </w:tc>
      </w:tr>
      <w:tr w14:paraId="1A933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E270EF4">
            <w:pPr>
              <w:pStyle w:val="17"/>
              <w:spacing w:line="600" w:lineRule="exact"/>
              <w:jc w:val="distribute"/>
            </w:pPr>
            <w:r>
              <w:rPr>
                <w:rFonts w:hint="eastAsia"/>
              </w:rPr>
              <w:t>校对人</w:t>
            </w:r>
          </w:p>
        </w:tc>
        <w:tc>
          <w:tcPr>
            <w:tcW w:w="475" w:type="dxa"/>
            <w:vAlign w:val="center"/>
          </w:tcPr>
          <w:p w14:paraId="3FA7C44B">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4B0CBF11">
            <w:pPr>
              <w:pStyle w:val="17"/>
              <w:spacing w:line="600" w:lineRule="exact"/>
              <w:jc w:val="center"/>
            </w:pPr>
          </w:p>
        </w:tc>
      </w:tr>
      <w:tr w14:paraId="43BE0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C08FFF3">
            <w:pPr>
              <w:pStyle w:val="17"/>
              <w:spacing w:line="600" w:lineRule="exact"/>
              <w:jc w:val="distribute"/>
            </w:pPr>
            <w:r>
              <w:rPr>
                <w:rFonts w:hint="eastAsia"/>
              </w:rPr>
              <w:t>审定人</w:t>
            </w:r>
          </w:p>
        </w:tc>
        <w:tc>
          <w:tcPr>
            <w:tcW w:w="475" w:type="dxa"/>
            <w:vAlign w:val="center"/>
          </w:tcPr>
          <w:p w14:paraId="35B1C7A7">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699C4063">
            <w:pPr>
              <w:pStyle w:val="17"/>
              <w:spacing w:line="600" w:lineRule="exact"/>
              <w:jc w:val="center"/>
            </w:pPr>
          </w:p>
        </w:tc>
      </w:tr>
      <w:tr w14:paraId="25AE7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98B8936">
            <w:pPr>
              <w:pStyle w:val="17"/>
              <w:spacing w:line="600" w:lineRule="exact"/>
              <w:jc w:val="distribute"/>
            </w:pPr>
            <w:r>
              <w:rPr>
                <w:rFonts w:hint="eastAsia"/>
              </w:rPr>
              <w:t>报告日期</w:t>
            </w:r>
          </w:p>
        </w:tc>
        <w:tc>
          <w:tcPr>
            <w:tcW w:w="475" w:type="dxa"/>
            <w:vAlign w:val="center"/>
          </w:tcPr>
          <w:p w14:paraId="78D3AA91">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6C9D5445">
            <w:pPr>
              <w:pStyle w:val="17"/>
              <w:spacing w:line="600" w:lineRule="exact"/>
              <w:jc w:val="center"/>
            </w:pPr>
            <w:bookmarkStart w:id="7" w:name="报告日期"/>
            <w:r>
              <w:t>2025年12月27日</w:t>
            </w:r>
            <w:bookmarkEnd w:id="7"/>
          </w:p>
        </w:tc>
      </w:tr>
    </w:tbl>
    <w:p w14:paraId="3AE375E1"/>
    <w:p w14:paraId="00A1DA24">
      <w:pPr>
        <w:pStyle w:val="50"/>
      </w:pPr>
    </w:p>
    <w:tbl>
      <w:tblPr>
        <w:tblStyle w:val="24"/>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2DEAD96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25F9114E">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166944C7">
            <w:pPr>
              <w:pStyle w:val="50"/>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03B7E6F6">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472C298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7B9FF6F">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6A1F8FE0">
            <w:pPr>
              <w:pStyle w:val="50"/>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3AF68BF3">
            <w:pPr>
              <w:ind w:firstLine="360"/>
              <w:rPr>
                <w:sz w:val="18"/>
                <w:szCs w:val="18"/>
              </w:rPr>
            </w:pPr>
          </w:p>
        </w:tc>
      </w:tr>
      <w:tr w14:paraId="378680E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EAB75FD">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39583DF5">
            <w:pPr>
              <w:pStyle w:val="50"/>
              <w:rPr>
                <w:szCs w:val="18"/>
              </w:rPr>
            </w:pPr>
            <w:r>
              <w:rPr>
                <w:rFonts w:hint="eastAsia"/>
                <w:szCs w:val="18"/>
              </w:rPr>
              <w:t xml:space="preserve">: </w:t>
            </w:r>
            <w:bookmarkStart w:id="10" w:name="加密锁号"/>
            <w:r>
              <w:rPr>
                <w:rFonts w:hint="eastAsia"/>
                <w:szCs w:val="18"/>
              </w:rPr>
              <w:t>T13587561282</w:t>
            </w:r>
            <w:bookmarkEnd w:id="10"/>
          </w:p>
        </w:tc>
        <w:tc>
          <w:tcPr>
            <w:tcW w:w="3958" w:type="dxa"/>
            <w:vMerge w:val="continue"/>
            <w:tcBorders>
              <w:top w:val="single" w:color="auto" w:sz="2" w:space="0"/>
              <w:left w:val="nil"/>
              <w:bottom w:val="nil"/>
              <w:right w:val="nil"/>
            </w:tcBorders>
            <w:vAlign w:val="center"/>
          </w:tcPr>
          <w:p w14:paraId="1B0CB562">
            <w:pPr>
              <w:ind w:firstLine="360"/>
              <w:rPr>
                <w:sz w:val="18"/>
                <w:szCs w:val="18"/>
              </w:rPr>
            </w:pPr>
          </w:p>
        </w:tc>
      </w:tr>
      <w:tr w14:paraId="15DC692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3D04FDD">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53FA624F">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11ECB8F5">
            <w:pPr>
              <w:ind w:firstLine="360"/>
              <w:rPr>
                <w:sz w:val="18"/>
                <w:szCs w:val="18"/>
              </w:rPr>
            </w:pPr>
          </w:p>
        </w:tc>
      </w:tr>
    </w:tbl>
    <w:p w14:paraId="1D4057BF">
      <w:pPr>
        <w:jc w:val="center"/>
        <w:rPr>
          <w:b/>
          <w:bCs/>
          <w:sz w:val="32"/>
          <w:szCs w:val="32"/>
        </w:rPr>
      </w:pPr>
      <w:r>
        <w:rPr>
          <w:b/>
          <w:bCs/>
          <w:sz w:val="28"/>
          <w:szCs w:val="32"/>
        </w:rPr>
        <w:br w:type="page"/>
      </w:r>
      <w:r>
        <w:rPr>
          <w:rFonts w:hint="eastAsia"/>
          <w:b/>
          <w:bCs/>
          <w:sz w:val="28"/>
          <w:szCs w:val="32"/>
        </w:rPr>
        <w:t>目  录</w:t>
      </w:r>
    </w:p>
    <w:p w14:paraId="6956277E">
      <w:pPr>
        <w:pStyle w:val="21"/>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_Toc31414 </w:instrText>
      </w:r>
      <w:r>
        <w:rPr>
          <w:caps/>
        </w:rPr>
        <w:fldChar w:fldCharType="separate"/>
      </w:r>
      <w:r>
        <w:rPr>
          <w:rFonts w:hint="eastAsia" w:ascii="微软雅黑" w:hAnsi="微软雅黑" w:eastAsia="微软雅黑"/>
          <w:szCs w:val="28"/>
        </w:rPr>
        <w:t xml:space="preserve">1 </w:t>
      </w:r>
      <w:r>
        <w:rPr>
          <w:rFonts w:hint="eastAsia" w:ascii="微软雅黑" w:hAnsi="微软雅黑" w:eastAsia="微软雅黑"/>
        </w:rPr>
        <w:t>项目概况</w:t>
      </w:r>
      <w:r>
        <w:tab/>
      </w:r>
      <w:r>
        <w:fldChar w:fldCharType="begin"/>
      </w:r>
      <w:r>
        <w:instrText xml:space="preserve"> PAGEREF _Toc31414 \h </w:instrText>
      </w:r>
      <w:r>
        <w:fldChar w:fldCharType="separate"/>
      </w:r>
      <w:r>
        <w:t>3</w:t>
      </w:r>
      <w:r>
        <w:fldChar w:fldCharType="end"/>
      </w:r>
      <w:r>
        <w:rPr>
          <w:caps/>
        </w:rPr>
        <w:fldChar w:fldCharType="end"/>
      </w:r>
    </w:p>
    <w:p w14:paraId="26C0A999">
      <w:pPr>
        <w:pStyle w:val="22"/>
        <w:tabs>
          <w:tab w:val="right" w:leader="dot" w:pos="8306"/>
          <w:tab w:val="clear" w:pos="540"/>
          <w:tab w:val="clear" w:pos="840"/>
          <w:tab w:val="clear" w:pos="8222"/>
        </w:tabs>
      </w:pPr>
      <w:r>
        <w:rPr>
          <w:caps/>
        </w:rPr>
        <w:fldChar w:fldCharType="begin"/>
      </w:r>
      <w:r>
        <w:rPr>
          <w:caps/>
        </w:rPr>
        <w:instrText xml:space="preserve"> HYPERLINK \l _Toc767 </w:instrText>
      </w:r>
      <w:r>
        <w:rPr>
          <w:caps/>
        </w:rPr>
        <w:fldChar w:fldCharType="separate"/>
      </w:r>
      <w:r>
        <w:rPr>
          <w:rFonts w:hint="eastAsia" w:ascii="微软雅黑" w:hAnsi="微软雅黑" w:eastAsia="微软雅黑"/>
          <w:lang w:val="en-GB"/>
        </w:rPr>
        <w:t xml:space="preserve">1.1 </w:t>
      </w:r>
      <w:r>
        <w:rPr>
          <w:rFonts w:ascii="微软雅黑" w:hAnsi="微软雅黑" w:eastAsia="微软雅黑"/>
        </w:rPr>
        <w:t>平面图</w:t>
      </w:r>
      <w:r>
        <w:tab/>
      </w:r>
      <w:r>
        <w:fldChar w:fldCharType="begin"/>
      </w:r>
      <w:r>
        <w:instrText xml:space="preserve"> PAGEREF _Toc767 \h </w:instrText>
      </w:r>
      <w:r>
        <w:fldChar w:fldCharType="separate"/>
      </w:r>
      <w:r>
        <w:t>3</w:t>
      </w:r>
      <w:r>
        <w:fldChar w:fldCharType="end"/>
      </w:r>
      <w:r>
        <w:rPr>
          <w:caps/>
        </w:rPr>
        <w:fldChar w:fldCharType="end"/>
      </w:r>
    </w:p>
    <w:p w14:paraId="30FDBA27">
      <w:pPr>
        <w:pStyle w:val="22"/>
        <w:tabs>
          <w:tab w:val="right" w:leader="dot" w:pos="8306"/>
          <w:tab w:val="clear" w:pos="540"/>
          <w:tab w:val="clear" w:pos="840"/>
          <w:tab w:val="clear" w:pos="8222"/>
        </w:tabs>
      </w:pPr>
      <w:r>
        <w:rPr>
          <w:caps/>
        </w:rPr>
        <w:fldChar w:fldCharType="begin"/>
      </w:r>
      <w:r>
        <w:rPr>
          <w:caps/>
        </w:rPr>
        <w:instrText xml:space="preserve"> HYPERLINK \l _Toc16093 </w:instrText>
      </w:r>
      <w:r>
        <w:rPr>
          <w:caps/>
        </w:rPr>
        <w:fldChar w:fldCharType="separate"/>
      </w:r>
      <w:r>
        <w:rPr>
          <w:rFonts w:hint="eastAsia" w:ascii="微软雅黑" w:hAnsi="微软雅黑" w:eastAsia="微软雅黑"/>
          <w:lang w:val="en-GB"/>
        </w:rPr>
        <w:t xml:space="preserve">1.2 </w:t>
      </w:r>
      <w:r>
        <w:rPr>
          <w:rFonts w:hint="eastAsia" w:ascii="微软雅黑" w:hAnsi="微软雅黑" w:eastAsia="微软雅黑"/>
        </w:rPr>
        <w:t>三</w:t>
      </w:r>
      <w:r>
        <w:rPr>
          <w:rFonts w:ascii="微软雅黑" w:hAnsi="微软雅黑" w:eastAsia="微软雅黑"/>
        </w:rPr>
        <w:t>维视图</w:t>
      </w:r>
      <w:r>
        <w:tab/>
      </w:r>
      <w:r>
        <w:fldChar w:fldCharType="begin"/>
      </w:r>
      <w:r>
        <w:instrText xml:space="preserve"> PAGEREF _Toc16093 \h </w:instrText>
      </w:r>
      <w:r>
        <w:fldChar w:fldCharType="separate"/>
      </w:r>
      <w:r>
        <w:t>4</w:t>
      </w:r>
      <w:r>
        <w:fldChar w:fldCharType="end"/>
      </w:r>
      <w:r>
        <w:rPr>
          <w:caps/>
        </w:rPr>
        <w:fldChar w:fldCharType="end"/>
      </w:r>
    </w:p>
    <w:p w14:paraId="42589476">
      <w:pPr>
        <w:pStyle w:val="21"/>
        <w:tabs>
          <w:tab w:val="right" w:leader="dot" w:pos="8306"/>
          <w:tab w:val="clear" w:pos="180"/>
          <w:tab w:val="clear" w:pos="420"/>
          <w:tab w:val="clear" w:pos="8222"/>
        </w:tabs>
      </w:pPr>
      <w:r>
        <w:rPr>
          <w:caps/>
        </w:rPr>
        <w:fldChar w:fldCharType="begin"/>
      </w:r>
      <w:r>
        <w:rPr>
          <w:caps/>
        </w:rPr>
        <w:instrText xml:space="preserve"> HYPERLINK \l _Toc11911 </w:instrText>
      </w:r>
      <w:r>
        <w:rPr>
          <w:caps/>
        </w:rPr>
        <w:fldChar w:fldCharType="separate"/>
      </w:r>
      <w:r>
        <w:rPr>
          <w:rFonts w:hint="eastAsia" w:ascii="微软雅黑" w:hAnsi="微软雅黑" w:eastAsia="微软雅黑"/>
          <w:szCs w:val="28"/>
        </w:rPr>
        <w:t xml:space="preserve">2 </w:t>
      </w:r>
      <w:r>
        <w:rPr>
          <w:rFonts w:hint="eastAsia" w:ascii="微软雅黑" w:hAnsi="微软雅黑" w:eastAsia="微软雅黑"/>
        </w:rPr>
        <w:t>计算</w:t>
      </w:r>
      <w:r>
        <w:rPr>
          <w:rFonts w:ascii="微软雅黑" w:hAnsi="微软雅黑" w:eastAsia="微软雅黑"/>
        </w:rPr>
        <w:t>依据</w:t>
      </w:r>
      <w:r>
        <w:tab/>
      </w:r>
      <w:r>
        <w:fldChar w:fldCharType="begin"/>
      </w:r>
      <w:r>
        <w:instrText xml:space="preserve"> PAGEREF _Toc11911 \h </w:instrText>
      </w:r>
      <w:r>
        <w:fldChar w:fldCharType="separate"/>
      </w:r>
      <w:r>
        <w:t>4</w:t>
      </w:r>
      <w:r>
        <w:fldChar w:fldCharType="end"/>
      </w:r>
      <w:r>
        <w:rPr>
          <w:caps/>
        </w:rPr>
        <w:fldChar w:fldCharType="end"/>
      </w:r>
    </w:p>
    <w:p w14:paraId="0B236FD8">
      <w:pPr>
        <w:pStyle w:val="21"/>
        <w:tabs>
          <w:tab w:val="right" w:leader="dot" w:pos="8306"/>
          <w:tab w:val="clear" w:pos="180"/>
          <w:tab w:val="clear" w:pos="420"/>
          <w:tab w:val="clear" w:pos="8222"/>
        </w:tabs>
      </w:pPr>
      <w:r>
        <w:rPr>
          <w:caps/>
        </w:rPr>
        <w:fldChar w:fldCharType="begin"/>
      </w:r>
      <w:r>
        <w:rPr>
          <w:caps/>
        </w:rPr>
        <w:instrText xml:space="preserve"> HYPERLINK \l _Toc20847 </w:instrText>
      </w:r>
      <w:r>
        <w:rPr>
          <w:caps/>
        </w:rPr>
        <w:fldChar w:fldCharType="separate"/>
      </w:r>
      <w:r>
        <w:rPr>
          <w:rFonts w:hint="eastAsia" w:ascii="微软雅黑" w:hAnsi="微软雅黑" w:eastAsia="微软雅黑"/>
          <w:szCs w:val="28"/>
        </w:rPr>
        <w:t xml:space="preserve">3 </w:t>
      </w:r>
      <w:r>
        <w:rPr>
          <w:rFonts w:hint="eastAsia" w:ascii="微软雅黑" w:hAnsi="微软雅黑" w:eastAsia="微软雅黑"/>
        </w:rPr>
        <w:t>参考</w:t>
      </w:r>
      <w:r>
        <w:rPr>
          <w:rFonts w:ascii="微软雅黑" w:hAnsi="微软雅黑" w:eastAsia="微软雅黑"/>
        </w:rPr>
        <w:t>标准</w:t>
      </w:r>
      <w:r>
        <w:tab/>
      </w:r>
      <w:r>
        <w:fldChar w:fldCharType="begin"/>
      </w:r>
      <w:r>
        <w:instrText xml:space="preserve"> PAGEREF _Toc20847 \h </w:instrText>
      </w:r>
      <w:r>
        <w:fldChar w:fldCharType="separate"/>
      </w:r>
      <w:r>
        <w:t>4</w:t>
      </w:r>
      <w:r>
        <w:fldChar w:fldCharType="end"/>
      </w:r>
      <w:r>
        <w:rPr>
          <w:caps/>
        </w:rPr>
        <w:fldChar w:fldCharType="end"/>
      </w:r>
    </w:p>
    <w:p w14:paraId="030B43C2">
      <w:pPr>
        <w:pStyle w:val="21"/>
        <w:tabs>
          <w:tab w:val="right" w:leader="dot" w:pos="8306"/>
          <w:tab w:val="clear" w:pos="180"/>
          <w:tab w:val="clear" w:pos="420"/>
          <w:tab w:val="clear" w:pos="8222"/>
        </w:tabs>
      </w:pPr>
      <w:r>
        <w:rPr>
          <w:caps/>
        </w:rPr>
        <w:fldChar w:fldCharType="begin"/>
      </w:r>
      <w:r>
        <w:rPr>
          <w:caps/>
        </w:rPr>
        <w:instrText xml:space="preserve"> HYPERLINK \l _Toc16370 </w:instrText>
      </w:r>
      <w:r>
        <w:rPr>
          <w:caps/>
        </w:rPr>
        <w:fldChar w:fldCharType="separate"/>
      </w:r>
      <w:r>
        <w:rPr>
          <w:rFonts w:hint="eastAsia" w:ascii="微软雅黑" w:hAnsi="微软雅黑" w:eastAsia="微软雅黑"/>
          <w:szCs w:val="28"/>
        </w:rPr>
        <w:t xml:space="preserve">4 </w:t>
      </w:r>
      <w:r>
        <w:rPr>
          <w:rFonts w:hint="eastAsia" w:ascii="微软雅黑" w:hAnsi="微软雅黑" w:eastAsia="微软雅黑"/>
        </w:rPr>
        <w:t>技术措施</w:t>
      </w:r>
      <w:r>
        <w:tab/>
      </w:r>
      <w:r>
        <w:fldChar w:fldCharType="begin"/>
      </w:r>
      <w:r>
        <w:instrText xml:space="preserve"> PAGEREF _Toc16370 \h </w:instrText>
      </w:r>
      <w:r>
        <w:fldChar w:fldCharType="separate"/>
      </w:r>
      <w:r>
        <w:t>4</w:t>
      </w:r>
      <w:r>
        <w:fldChar w:fldCharType="end"/>
      </w:r>
      <w:r>
        <w:rPr>
          <w:caps/>
        </w:rPr>
        <w:fldChar w:fldCharType="end"/>
      </w:r>
    </w:p>
    <w:p w14:paraId="1CBB04D2">
      <w:pPr>
        <w:pStyle w:val="21"/>
        <w:tabs>
          <w:tab w:val="right" w:leader="dot" w:pos="8306"/>
          <w:tab w:val="clear" w:pos="180"/>
          <w:tab w:val="clear" w:pos="420"/>
          <w:tab w:val="clear" w:pos="8222"/>
        </w:tabs>
      </w:pPr>
      <w:r>
        <w:rPr>
          <w:caps/>
        </w:rPr>
        <w:fldChar w:fldCharType="begin"/>
      </w:r>
      <w:r>
        <w:rPr>
          <w:caps/>
        </w:rPr>
        <w:instrText xml:space="preserve"> HYPERLINK \l _Toc10213 </w:instrText>
      </w:r>
      <w:r>
        <w:rPr>
          <w:caps/>
        </w:rPr>
        <w:fldChar w:fldCharType="separate"/>
      </w:r>
      <w:r>
        <w:rPr>
          <w:rFonts w:hint="eastAsia" w:ascii="微软雅黑" w:hAnsi="微软雅黑" w:eastAsia="微软雅黑"/>
          <w:szCs w:val="28"/>
        </w:rPr>
        <w:t xml:space="preserve">5 </w:t>
      </w:r>
      <w:r>
        <w:rPr>
          <w:rFonts w:hint="eastAsia" w:ascii="微软雅黑" w:hAnsi="微软雅黑" w:eastAsia="微软雅黑"/>
        </w:rPr>
        <w:t>计算方法</w:t>
      </w:r>
      <w:r>
        <w:tab/>
      </w:r>
      <w:r>
        <w:fldChar w:fldCharType="begin"/>
      </w:r>
      <w:r>
        <w:instrText xml:space="preserve"> PAGEREF _Toc10213 \h </w:instrText>
      </w:r>
      <w:r>
        <w:fldChar w:fldCharType="separate"/>
      </w:r>
      <w:r>
        <w:t>6</w:t>
      </w:r>
      <w:r>
        <w:fldChar w:fldCharType="end"/>
      </w:r>
      <w:r>
        <w:rPr>
          <w:caps/>
        </w:rPr>
        <w:fldChar w:fldCharType="end"/>
      </w:r>
    </w:p>
    <w:p w14:paraId="37B8F89C">
      <w:pPr>
        <w:pStyle w:val="22"/>
        <w:tabs>
          <w:tab w:val="right" w:leader="dot" w:pos="8306"/>
          <w:tab w:val="clear" w:pos="540"/>
          <w:tab w:val="clear" w:pos="840"/>
          <w:tab w:val="clear" w:pos="8222"/>
        </w:tabs>
      </w:pPr>
      <w:r>
        <w:rPr>
          <w:caps/>
        </w:rPr>
        <w:fldChar w:fldCharType="begin"/>
      </w:r>
      <w:r>
        <w:rPr>
          <w:caps/>
        </w:rPr>
        <w:instrText xml:space="preserve"> HYPERLINK \l _Toc27149 </w:instrText>
      </w:r>
      <w:r>
        <w:rPr>
          <w:caps/>
        </w:rPr>
        <w:fldChar w:fldCharType="separate"/>
      </w:r>
      <w:r>
        <w:rPr>
          <w:rFonts w:hint="eastAsia" w:ascii="微软雅黑" w:hAnsi="微软雅黑" w:eastAsia="微软雅黑"/>
          <w:lang w:val="en-GB"/>
        </w:rPr>
        <w:t xml:space="preserve">5.1 </w:t>
      </w:r>
      <w:r>
        <w:rPr>
          <w:rFonts w:ascii="微软雅黑" w:hAnsi="微软雅黑" w:eastAsia="微软雅黑"/>
        </w:rPr>
        <w:t>CFD</w:t>
      </w:r>
      <w:r>
        <w:rPr>
          <w:rFonts w:hint="eastAsia" w:ascii="微软雅黑" w:hAnsi="微软雅黑" w:eastAsia="微软雅黑"/>
        </w:rPr>
        <w:t>计算原理</w:t>
      </w:r>
      <w:r>
        <w:tab/>
      </w:r>
      <w:r>
        <w:fldChar w:fldCharType="begin"/>
      </w:r>
      <w:r>
        <w:instrText xml:space="preserve"> PAGEREF _Toc27149 \h </w:instrText>
      </w:r>
      <w:r>
        <w:fldChar w:fldCharType="separate"/>
      </w:r>
      <w:r>
        <w:t>6</w:t>
      </w:r>
      <w:r>
        <w:fldChar w:fldCharType="end"/>
      </w:r>
      <w:r>
        <w:rPr>
          <w:caps/>
        </w:rPr>
        <w:fldChar w:fldCharType="end"/>
      </w:r>
    </w:p>
    <w:p w14:paraId="3375070E">
      <w:pPr>
        <w:pStyle w:val="21"/>
        <w:tabs>
          <w:tab w:val="right" w:leader="dot" w:pos="8306"/>
          <w:tab w:val="clear" w:pos="180"/>
          <w:tab w:val="clear" w:pos="420"/>
          <w:tab w:val="clear" w:pos="8222"/>
        </w:tabs>
      </w:pPr>
      <w:r>
        <w:rPr>
          <w:caps/>
        </w:rPr>
        <w:fldChar w:fldCharType="begin"/>
      </w:r>
      <w:r>
        <w:rPr>
          <w:caps/>
        </w:rPr>
        <w:instrText xml:space="preserve"> HYPERLINK \l _Toc14401 </w:instrText>
      </w:r>
      <w:r>
        <w:rPr>
          <w:caps/>
        </w:rPr>
        <w:fldChar w:fldCharType="separate"/>
      </w:r>
      <w:r>
        <w:rPr>
          <w:rFonts w:hint="eastAsia" w:ascii="微软雅黑" w:hAnsi="微软雅黑" w:eastAsia="微软雅黑"/>
          <w:szCs w:val="28"/>
        </w:rPr>
        <w:t xml:space="preserve">6 </w:t>
      </w:r>
      <w:r>
        <w:rPr>
          <w:rFonts w:hint="eastAsia" w:ascii="微软雅黑" w:hAnsi="微软雅黑" w:eastAsia="微软雅黑"/>
        </w:rPr>
        <w:t>结果</w:t>
      </w:r>
      <w:r>
        <w:rPr>
          <w:rFonts w:ascii="微软雅黑" w:hAnsi="微软雅黑" w:eastAsia="微软雅黑"/>
        </w:rPr>
        <w:t>分析</w:t>
      </w:r>
      <w:r>
        <w:tab/>
      </w:r>
      <w:r>
        <w:fldChar w:fldCharType="begin"/>
      </w:r>
      <w:r>
        <w:instrText xml:space="preserve"> PAGEREF _Toc14401 \h </w:instrText>
      </w:r>
      <w:r>
        <w:fldChar w:fldCharType="separate"/>
      </w:r>
      <w:r>
        <w:t>8</w:t>
      </w:r>
      <w:r>
        <w:fldChar w:fldCharType="end"/>
      </w:r>
      <w:r>
        <w:rPr>
          <w:caps/>
        </w:rPr>
        <w:fldChar w:fldCharType="end"/>
      </w:r>
    </w:p>
    <w:p w14:paraId="0B561C69">
      <w:pPr>
        <w:pStyle w:val="22"/>
        <w:tabs>
          <w:tab w:val="right" w:leader="dot" w:pos="8306"/>
          <w:tab w:val="clear" w:pos="540"/>
          <w:tab w:val="clear" w:pos="840"/>
          <w:tab w:val="clear" w:pos="8222"/>
        </w:tabs>
      </w:pPr>
      <w:r>
        <w:rPr>
          <w:caps/>
        </w:rPr>
        <w:fldChar w:fldCharType="begin"/>
      </w:r>
      <w:r>
        <w:rPr>
          <w:caps/>
        </w:rPr>
        <w:instrText xml:space="preserve"> HYPERLINK \l _Toc18317 </w:instrText>
      </w:r>
      <w:r>
        <w:rPr>
          <w:caps/>
        </w:rPr>
        <w:fldChar w:fldCharType="separate"/>
      </w:r>
      <w:r>
        <w:rPr>
          <w:rFonts w:hint="eastAsia" w:ascii="微软雅黑" w:hAnsi="微软雅黑" w:eastAsia="微软雅黑"/>
          <w:lang w:val="en-GB"/>
        </w:rPr>
        <w:t xml:space="preserve">6.1 </w:t>
      </w:r>
      <w:r>
        <w:rPr>
          <w:rFonts w:hint="eastAsia" w:ascii="微软雅黑" w:hAnsi="微软雅黑" w:eastAsia="微软雅黑"/>
        </w:rPr>
        <w:t>室内速度场分布</w:t>
      </w:r>
      <w:r>
        <w:tab/>
      </w:r>
      <w:r>
        <w:fldChar w:fldCharType="begin"/>
      </w:r>
      <w:r>
        <w:instrText xml:space="preserve"> PAGEREF _Toc18317 \h </w:instrText>
      </w:r>
      <w:r>
        <w:fldChar w:fldCharType="separate"/>
      </w:r>
      <w:r>
        <w:t>8</w:t>
      </w:r>
      <w:r>
        <w:fldChar w:fldCharType="end"/>
      </w:r>
      <w:r>
        <w:rPr>
          <w:caps/>
        </w:rPr>
        <w:fldChar w:fldCharType="end"/>
      </w:r>
    </w:p>
    <w:p w14:paraId="0EF58D97">
      <w:pPr>
        <w:pStyle w:val="22"/>
        <w:tabs>
          <w:tab w:val="right" w:leader="dot" w:pos="8306"/>
          <w:tab w:val="clear" w:pos="540"/>
          <w:tab w:val="clear" w:pos="840"/>
          <w:tab w:val="clear" w:pos="8222"/>
        </w:tabs>
      </w:pPr>
      <w:r>
        <w:rPr>
          <w:caps/>
        </w:rPr>
        <w:fldChar w:fldCharType="begin"/>
      </w:r>
      <w:r>
        <w:rPr>
          <w:caps/>
        </w:rPr>
        <w:instrText xml:space="preserve"> HYPERLINK \l _Toc17439 </w:instrText>
      </w:r>
      <w:r>
        <w:rPr>
          <w:caps/>
        </w:rPr>
        <w:fldChar w:fldCharType="separate"/>
      </w:r>
      <w:r>
        <w:rPr>
          <w:rFonts w:hint="eastAsia" w:ascii="微软雅黑" w:hAnsi="微软雅黑" w:eastAsia="微软雅黑"/>
          <w:lang w:val="en-GB"/>
        </w:rPr>
        <w:t xml:space="preserve">6.2 </w:t>
      </w:r>
      <w:r>
        <w:rPr>
          <w:rFonts w:hint="eastAsia" w:ascii="微软雅黑" w:hAnsi="微软雅黑" w:eastAsia="微软雅黑"/>
        </w:rPr>
        <w:t>室内风速矢量图</w:t>
      </w:r>
      <w:r>
        <w:tab/>
      </w:r>
      <w:r>
        <w:fldChar w:fldCharType="begin"/>
      </w:r>
      <w:r>
        <w:instrText xml:space="preserve"> PAGEREF _Toc17439 \h </w:instrText>
      </w:r>
      <w:r>
        <w:fldChar w:fldCharType="separate"/>
      </w:r>
      <w:r>
        <w:t>9</w:t>
      </w:r>
      <w:r>
        <w:fldChar w:fldCharType="end"/>
      </w:r>
      <w:r>
        <w:rPr>
          <w:caps/>
        </w:rPr>
        <w:fldChar w:fldCharType="end"/>
      </w:r>
    </w:p>
    <w:p w14:paraId="03969B50">
      <w:pPr>
        <w:pStyle w:val="22"/>
        <w:tabs>
          <w:tab w:val="right" w:leader="dot" w:pos="8306"/>
          <w:tab w:val="clear" w:pos="540"/>
          <w:tab w:val="clear" w:pos="840"/>
          <w:tab w:val="clear" w:pos="8222"/>
        </w:tabs>
      </w:pPr>
      <w:r>
        <w:rPr>
          <w:caps/>
        </w:rPr>
        <w:fldChar w:fldCharType="begin"/>
      </w:r>
      <w:r>
        <w:rPr>
          <w:caps/>
        </w:rPr>
        <w:instrText xml:space="preserve"> HYPERLINK \l _Toc18038 </w:instrText>
      </w:r>
      <w:r>
        <w:rPr>
          <w:caps/>
        </w:rPr>
        <w:fldChar w:fldCharType="separate"/>
      </w:r>
      <w:r>
        <w:rPr>
          <w:rFonts w:hint="eastAsia" w:ascii="微软雅黑" w:hAnsi="微软雅黑" w:eastAsia="微软雅黑"/>
          <w:lang w:val="en-GB"/>
        </w:rPr>
        <w:t xml:space="preserve">6.3 </w:t>
      </w:r>
      <w:r>
        <w:rPr>
          <w:rFonts w:hint="eastAsia" w:ascii="微软雅黑" w:hAnsi="微软雅黑" w:eastAsia="微软雅黑"/>
        </w:rPr>
        <w:t>流线图</w:t>
      </w:r>
      <w:r>
        <w:tab/>
      </w:r>
      <w:r>
        <w:fldChar w:fldCharType="begin"/>
      </w:r>
      <w:r>
        <w:instrText xml:space="preserve"> PAGEREF _Toc18038 \h </w:instrText>
      </w:r>
      <w:r>
        <w:fldChar w:fldCharType="separate"/>
      </w:r>
      <w:r>
        <w:t>10</w:t>
      </w:r>
      <w:r>
        <w:fldChar w:fldCharType="end"/>
      </w:r>
      <w:r>
        <w:rPr>
          <w:caps/>
        </w:rPr>
        <w:fldChar w:fldCharType="end"/>
      </w:r>
    </w:p>
    <w:p w14:paraId="4BC91141">
      <w:pPr>
        <w:pStyle w:val="21"/>
        <w:tabs>
          <w:tab w:val="right" w:leader="dot" w:pos="8306"/>
          <w:tab w:val="clear" w:pos="180"/>
          <w:tab w:val="clear" w:pos="420"/>
          <w:tab w:val="clear" w:pos="8222"/>
        </w:tabs>
      </w:pPr>
      <w:r>
        <w:rPr>
          <w:caps/>
        </w:rPr>
        <w:fldChar w:fldCharType="begin"/>
      </w:r>
      <w:r>
        <w:rPr>
          <w:caps/>
        </w:rPr>
        <w:instrText xml:space="preserve"> HYPERLINK \l _Toc12545 </w:instrText>
      </w:r>
      <w:r>
        <w:rPr>
          <w:caps/>
        </w:rPr>
        <w:fldChar w:fldCharType="separate"/>
      </w:r>
      <w:r>
        <w:rPr>
          <w:rFonts w:hint="eastAsia" w:ascii="微软雅黑" w:hAnsi="微软雅黑" w:eastAsia="微软雅黑"/>
          <w:szCs w:val="28"/>
        </w:rPr>
        <w:t xml:space="preserve">7 </w:t>
      </w:r>
      <w:r>
        <w:rPr>
          <w:rFonts w:hint="eastAsia" w:ascii="微软雅黑" w:hAnsi="微软雅黑" w:eastAsia="微软雅黑"/>
        </w:rPr>
        <w:t>结论</w:t>
      </w:r>
      <w:r>
        <w:tab/>
      </w:r>
      <w:r>
        <w:fldChar w:fldCharType="begin"/>
      </w:r>
      <w:r>
        <w:instrText xml:space="preserve"> PAGEREF _Toc12545 \h </w:instrText>
      </w:r>
      <w:r>
        <w:fldChar w:fldCharType="separate"/>
      </w:r>
      <w:r>
        <w:t>10</w:t>
      </w:r>
      <w:r>
        <w:fldChar w:fldCharType="end"/>
      </w:r>
      <w:r>
        <w:rPr>
          <w:caps/>
        </w:rPr>
        <w:fldChar w:fldCharType="end"/>
      </w:r>
    </w:p>
    <w:p w14:paraId="513D8740">
      <w:pPr>
        <w:jc w:val="center"/>
        <w:rPr>
          <w:rFonts w:ascii="宋体" w:hAnsi="宋体"/>
          <w:b/>
          <w:bCs/>
          <w:sz w:val="32"/>
          <w:szCs w:val="32"/>
        </w:rPr>
        <w:sectPr>
          <w:footerReference r:id="rId7" w:type="first"/>
          <w:headerReference r:id="rId5" w:type="default"/>
          <w:footerReference r:id="rId6" w:type="default"/>
          <w:pgSz w:w="11906" w:h="16838"/>
          <w:pgMar w:top="1134" w:right="1800" w:bottom="1134" w:left="1800" w:header="850" w:footer="170" w:gutter="0"/>
          <w:cols w:space="425" w:num="1"/>
          <w:titlePg/>
          <w:docGrid w:type="lines" w:linePitch="312" w:charSpace="0"/>
        </w:sectPr>
      </w:pPr>
      <w:r>
        <w:rPr>
          <w:caps/>
        </w:rPr>
        <w:fldChar w:fldCharType="end"/>
      </w:r>
      <w:bookmarkEnd w:id="11"/>
    </w:p>
    <w:p w14:paraId="474CA44D">
      <w:pPr>
        <w:pStyle w:val="2"/>
        <w:rPr>
          <w:rFonts w:ascii="微软雅黑" w:hAnsi="微软雅黑" w:eastAsia="微软雅黑"/>
        </w:rPr>
      </w:pPr>
      <w:bookmarkStart w:id="12" w:name="_Toc58243666"/>
      <w:bookmarkStart w:id="13" w:name="_Toc50050011"/>
      <w:bookmarkStart w:id="14" w:name="_Toc452108759"/>
      <w:bookmarkStart w:id="15" w:name="_Toc13735908"/>
      <w:bookmarkStart w:id="16" w:name="_Toc31414"/>
      <w:bookmarkStart w:id="17" w:name="TitleFormat"/>
      <w:bookmarkStart w:id="18" w:name="_Toc452108762"/>
      <w:r>
        <w:rPr>
          <w:rFonts w:hint="eastAsia" w:ascii="微软雅黑" w:hAnsi="微软雅黑" w:eastAsia="微软雅黑"/>
        </w:rPr>
        <w:t>项目概况</w:t>
      </w:r>
      <w:bookmarkEnd w:id="12"/>
      <w:bookmarkEnd w:id="13"/>
      <w:bookmarkEnd w:id="14"/>
      <w:bookmarkEnd w:id="15"/>
      <w:bookmarkEnd w:id="16"/>
    </w:p>
    <w:p w14:paraId="1215F9DD">
      <w:pPr>
        <w:pStyle w:val="3"/>
        <w:ind w:firstLine="420"/>
        <w:rPr>
          <w:rFonts w:ascii="微软雅黑" w:hAnsi="微软雅黑" w:eastAsia="微软雅黑"/>
          <w:lang w:val="en-US"/>
        </w:rPr>
      </w:pPr>
      <w:bookmarkStart w:id="19" w:name="项目概况"/>
      <w:bookmarkEnd w:id="19"/>
    </w:p>
    <w:p w14:paraId="580AF4B3">
      <w:pPr>
        <w:pStyle w:val="4"/>
        <w:rPr>
          <w:rFonts w:ascii="微软雅黑" w:hAnsi="微软雅黑" w:eastAsia="微软雅黑"/>
        </w:rPr>
      </w:pPr>
      <w:bookmarkStart w:id="20" w:name="_Toc452108760"/>
      <w:bookmarkStart w:id="21" w:name="_Toc58243667"/>
      <w:bookmarkStart w:id="22" w:name="_Toc13735909"/>
      <w:bookmarkStart w:id="23" w:name="_Toc50050012"/>
      <w:bookmarkStart w:id="24" w:name="_Toc767"/>
      <w:bookmarkStart w:id="25" w:name="平面图2"/>
      <w:r>
        <w:rPr>
          <w:rFonts w:ascii="微软雅黑" w:hAnsi="微软雅黑" w:eastAsia="微软雅黑"/>
        </w:rPr>
        <w:t>平面图</w:t>
      </w:r>
      <w:bookmarkEnd w:id="20"/>
      <w:bookmarkEnd w:id="21"/>
      <w:bookmarkEnd w:id="22"/>
      <w:bookmarkEnd w:id="23"/>
      <w:bookmarkEnd w:id="24"/>
    </w:p>
    <w:p w14:paraId="362EEFB6">
      <w:pPr>
        <w:pStyle w:val="3"/>
        <w:ind w:firstLine="0" w:firstLineChars="0"/>
        <w:jc w:val="center"/>
        <w:rPr>
          <w:rFonts w:ascii="微软雅黑" w:hAnsi="微软雅黑" w:eastAsia="微软雅黑"/>
          <w:lang w:val="en-US"/>
        </w:rPr>
      </w:pPr>
      <w:bookmarkStart w:id="26" w:name="平面图"/>
      <w:bookmarkEnd w:id="26"/>
      <w:r>
        <w:drawing>
          <wp:inline distT="0" distB="0" distL="0" distR="0">
            <wp:extent cx="5667375" cy="628650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3"/>
                    <a:stretch>
                      <a:fillRect/>
                    </a:stretch>
                  </pic:blipFill>
                  <pic:spPr>
                    <a:xfrm>
                      <a:off x="0" y="0"/>
                      <a:ext cx="5667375" cy="6286500"/>
                    </a:xfrm>
                    <a:prstGeom prst="rect">
                      <a:avLst/>
                    </a:prstGeom>
                  </pic:spPr>
                </pic:pic>
              </a:graphicData>
            </a:graphic>
          </wp:inline>
        </w:drawing>
      </w:r>
    </w:p>
    <w:p w14:paraId="12C27517">
      <w:pPr>
        <w:pStyle w:val="3"/>
        <w:ind w:firstLine="0" w:firstLineChars="0"/>
        <w:jc w:val="center"/>
        <w:rPr>
          <w:rFonts w:ascii="微软雅黑" w:hAnsi="微软雅黑" w:eastAsia="微软雅黑"/>
          <w:lang w:val="en-US"/>
        </w:rPr>
      </w:pPr>
      <w:r>
        <w:rPr>
          <w:rFonts w:ascii="微软雅黑" w:hAnsi="微软雅黑" w:eastAsia="微软雅黑"/>
          <w:lang w:val="en-US"/>
        </w:rPr>
        <w:t>2层平面</w:t>
      </w:r>
    </w:p>
    <w:p w14:paraId="54C34C3F">
      <w:pPr>
        <w:pStyle w:val="3"/>
        <w:ind w:firstLine="0" w:firstLineChars="0"/>
        <w:jc w:val="center"/>
        <w:rPr>
          <w:rFonts w:ascii="微软雅黑" w:hAnsi="微软雅黑" w:eastAsia="微软雅黑"/>
          <w:lang w:val="en-US"/>
        </w:rPr>
      </w:pPr>
    </w:p>
    <w:bookmarkEnd w:id="25"/>
    <w:p w14:paraId="64982D91">
      <w:pPr>
        <w:pStyle w:val="3"/>
        <w:ind w:firstLine="0" w:firstLineChars="0"/>
        <w:jc w:val="center"/>
        <w:rPr>
          <w:rFonts w:ascii="微软雅黑" w:hAnsi="微软雅黑" w:eastAsia="微软雅黑"/>
          <w:lang w:val="en-US"/>
        </w:rPr>
      </w:pPr>
    </w:p>
    <w:p w14:paraId="4FDB1119">
      <w:pPr>
        <w:pStyle w:val="4"/>
        <w:rPr>
          <w:rFonts w:ascii="微软雅黑" w:hAnsi="微软雅黑" w:eastAsia="微软雅黑"/>
        </w:rPr>
      </w:pPr>
      <w:bookmarkStart w:id="27" w:name="_Toc13735910"/>
      <w:bookmarkStart w:id="28" w:name="_Toc452108761"/>
      <w:bookmarkStart w:id="29" w:name="_Toc50050013"/>
      <w:bookmarkStart w:id="30" w:name="_Toc16093"/>
      <w:bookmarkStart w:id="31" w:name="_Toc58243668"/>
      <w:r>
        <w:rPr>
          <w:rFonts w:hint="eastAsia" w:ascii="微软雅黑" w:hAnsi="微软雅黑" w:eastAsia="微软雅黑"/>
        </w:rPr>
        <w:t>三</w:t>
      </w:r>
      <w:r>
        <w:rPr>
          <w:rFonts w:ascii="微软雅黑" w:hAnsi="微软雅黑" w:eastAsia="微软雅黑"/>
        </w:rPr>
        <w:t>维视图</w:t>
      </w:r>
      <w:bookmarkEnd w:id="27"/>
      <w:bookmarkEnd w:id="28"/>
      <w:bookmarkEnd w:id="29"/>
      <w:bookmarkEnd w:id="30"/>
      <w:bookmarkEnd w:id="31"/>
    </w:p>
    <w:p w14:paraId="70C0E527">
      <w:pPr>
        <w:pStyle w:val="3"/>
        <w:ind w:firstLine="0" w:firstLineChars="0"/>
        <w:jc w:val="center"/>
        <w:rPr>
          <w:rFonts w:ascii="微软雅黑" w:hAnsi="微软雅黑" w:eastAsia="微软雅黑"/>
          <w:lang w:val="en-US"/>
        </w:rPr>
      </w:pPr>
      <w:bookmarkStart w:id="32" w:name="模型观察"/>
      <w:r>
        <w:t>请先在【模型观察】命令中保存图片</w:t>
      </w:r>
      <w:bookmarkEnd w:id="32"/>
      <w:bookmarkStart w:id="33" w:name="三维视图"/>
      <w:bookmarkEnd w:id="33"/>
    </w:p>
    <w:p w14:paraId="3502BACE">
      <w:pPr>
        <w:pStyle w:val="3"/>
        <w:ind w:firstLine="0" w:firstLineChars="0"/>
        <w:rPr>
          <w:rFonts w:ascii="微软雅黑" w:hAnsi="微软雅黑" w:eastAsia="微软雅黑"/>
          <w:lang w:val="en-US"/>
        </w:rPr>
      </w:pPr>
    </w:p>
    <w:p w14:paraId="1253E3E7">
      <w:pPr>
        <w:pStyle w:val="2"/>
        <w:rPr>
          <w:rFonts w:ascii="微软雅黑" w:hAnsi="微软雅黑" w:eastAsia="微软雅黑"/>
        </w:rPr>
      </w:pPr>
      <w:bookmarkStart w:id="34" w:name="_Toc11911"/>
      <w:bookmarkStart w:id="35" w:name="_Toc58243669"/>
      <w:bookmarkStart w:id="36" w:name="_Toc50050014"/>
      <w:r>
        <w:rPr>
          <w:rFonts w:hint="eastAsia" w:ascii="微软雅黑" w:hAnsi="微软雅黑" w:eastAsia="微软雅黑"/>
        </w:rPr>
        <w:t>计算</w:t>
      </w:r>
      <w:r>
        <w:rPr>
          <w:rFonts w:ascii="微软雅黑" w:hAnsi="微软雅黑" w:eastAsia="微软雅黑"/>
        </w:rPr>
        <w:t>依据</w:t>
      </w:r>
      <w:bookmarkEnd w:id="17"/>
      <w:bookmarkEnd w:id="18"/>
      <w:bookmarkEnd w:id="34"/>
      <w:bookmarkEnd w:id="35"/>
      <w:bookmarkEnd w:id="36"/>
    </w:p>
    <w:p w14:paraId="033DC5AD">
      <w:pPr>
        <w:pStyle w:val="3"/>
        <w:ind w:firstLine="199" w:firstLineChars="95"/>
        <w:rPr>
          <w:rFonts w:ascii="微软雅黑" w:hAnsi="微软雅黑" w:eastAsia="微软雅黑"/>
          <w:lang w:val="en-US"/>
        </w:rPr>
      </w:pPr>
      <w:bookmarkStart w:id="37" w:name="_Toc452108763"/>
      <w:r>
        <w:rPr>
          <w:rFonts w:hint="eastAsia" w:ascii="微软雅黑" w:hAnsi="微软雅黑" w:eastAsia="微软雅黑"/>
          <w:lang w:val="en-US"/>
        </w:rPr>
        <w:t>本项目主要参照资料为：</w:t>
      </w:r>
    </w:p>
    <w:p w14:paraId="4F11D9DF">
      <w:pPr>
        <w:pStyle w:val="3"/>
        <w:numPr>
          <w:ilvl w:val="0"/>
          <w:numId w:val="2"/>
        </w:numPr>
        <w:ind w:left="0" w:firstLine="200" w:firstLineChars="0"/>
        <w:rPr>
          <w:rFonts w:ascii="微软雅黑" w:hAnsi="微软雅黑" w:eastAsia="微软雅黑"/>
          <w:lang w:val="en-US"/>
        </w:rPr>
      </w:pPr>
      <w:bookmarkStart w:id="38" w:name="参考标准名称1"/>
      <w:r>
        <w:rPr>
          <w:rFonts w:hint="eastAsia" w:ascii="微软雅黑" w:hAnsi="微软雅黑" w:eastAsia="微软雅黑"/>
          <w:lang w:val="en-US"/>
        </w:rPr>
        <w:t>《绿色建筑评价标准》GB/T 50378-2019（2024年版）</w:t>
      </w:r>
      <w:bookmarkEnd w:id="38"/>
    </w:p>
    <w:p w14:paraId="498AA8C4">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632A5DFC">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4371D551">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58E6BDC0">
      <w:pPr>
        <w:pStyle w:val="3"/>
        <w:ind w:left="200" w:firstLine="0" w:firstLineChars="0"/>
        <w:rPr>
          <w:rFonts w:ascii="微软雅黑" w:hAnsi="微软雅黑" w:eastAsia="微软雅黑"/>
          <w:lang w:val="en-US"/>
        </w:rPr>
      </w:pPr>
    </w:p>
    <w:p w14:paraId="56CD5550">
      <w:pPr>
        <w:pStyle w:val="2"/>
        <w:rPr>
          <w:rFonts w:ascii="微软雅黑" w:hAnsi="微软雅黑" w:eastAsia="微软雅黑"/>
        </w:rPr>
      </w:pPr>
      <w:bookmarkStart w:id="39" w:name="_Toc58243670"/>
      <w:bookmarkStart w:id="40" w:name="_Toc50050015"/>
      <w:bookmarkStart w:id="41" w:name="_Toc20847"/>
      <w:r>
        <w:rPr>
          <w:rFonts w:hint="eastAsia" w:ascii="微软雅黑" w:hAnsi="微软雅黑" w:eastAsia="微软雅黑"/>
        </w:rPr>
        <w:t>参考</w:t>
      </w:r>
      <w:r>
        <w:rPr>
          <w:rFonts w:ascii="微软雅黑" w:hAnsi="微软雅黑" w:eastAsia="微软雅黑"/>
        </w:rPr>
        <w:t>标准</w:t>
      </w:r>
      <w:bookmarkEnd w:id="37"/>
      <w:bookmarkEnd w:id="39"/>
      <w:bookmarkEnd w:id="40"/>
      <w:bookmarkEnd w:id="41"/>
    </w:p>
    <w:p w14:paraId="7DD23434">
      <w:pPr>
        <w:pStyle w:val="3"/>
        <w:ind w:firstLine="420"/>
        <w:rPr>
          <w:rFonts w:ascii="微软雅黑" w:hAnsi="微软雅黑" w:eastAsia="微软雅黑"/>
          <w:lang w:val="en-US"/>
        </w:rPr>
      </w:pPr>
      <w:bookmarkStart w:id="42" w:name="_Toc451698935"/>
      <w:bookmarkStart w:id="43" w:name="_Toc452108764"/>
      <w:bookmarkStart w:id="44" w:name="_Toc451436145"/>
      <w:r>
        <w:rPr>
          <w:rFonts w:hint="eastAsia" w:ascii="微软雅黑" w:hAnsi="微软雅黑" w:eastAsia="微软雅黑"/>
          <w:lang w:val="en-US"/>
        </w:rPr>
        <w:t>室内气流组织评价的主要依据为</w:t>
      </w:r>
      <w:bookmarkStart w:id="45" w:name="参考标准名称2"/>
      <w:r>
        <w:rPr>
          <w:rFonts w:hint="eastAsia" w:ascii="微软雅黑" w:hAnsi="微软雅黑" w:eastAsia="微软雅黑"/>
          <w:lang w:val="en-US"/>
        </w:rPr>
        <w:t>《绿色建筑评价标准》GB/T 50378-2019（2024年版）</w:t>
      </w:r>
      <w:bookmarkEnd w:id="45"/>
      <w:r>
        <w:rPr>
          <w:rFonts w:hint="eastAsia" w:ascii="微软雅黑" w:hAnsi="微软雅黑" w:eastAsia="微软雅黑"/>
          <w:lang w:val="en-US"/>
        </w:rPr>
        <w:t>中控制项5.1.2条，具体要求如下：</w:t>
      </w:r>
    </w:p>
    <w:p w14:paraId="12E3AEEA">
      <w:pPr>
        <w:pStyle w:val="15"/>
        <w:tabs>
          <w:tab w:val="left" w:pos="312"/>
        </w:tabs>
        <w:spacing w:line="360" w:lineRule="auto"/>
        <w:ind w:firstLine="0" w:firstLineChars="0"/>
        <w:rPr>
          <w:rFonts w:cs="Times New Roman"/>
          <w:kern w:val="0"/>
          <w:sz w:val="21"/>
          <w:szCs w:val="21"/>
        </w:rPr>
      </w:pPr>
      <w:r>
        <w:rPr>
          <w:rFonts w:cs="Times New Roman"/>
          <w:kern w:val="0"/>
          <w:sz w:val="21"/>
          <w:szCs w:val="21"/>
        </w:rPr>
        <w:tab/>
      </w:r>
      <w:r>
        <w:rPr>
          <w:rFonts w:cs="Times New Roman"/>
          <w:kern w:val="0"/>
          <w:sz w:val="21"/>
          <w:szCs w:val="21"/>
        </w:rPr>
        <w:tab/>
      </w:r>
      <w:r>
        <w:rPr>
          <w:rFonts w:cs="Times New Roman"/>
          <w:kern w:val="0"/>
          <w:sz w:val="21"/>
          <w:szCs w:val="21"/>
        </w:rPr>
        <w:t>5.1.2</w:t>
      </w:r>
      <w:r>
        <w:rPr>
          <w:rFonts w:cs="Times New Roman"/>
          <w:kern w:val="0"/>
          <w:sz w:val="21"/>
          <w:szCs w:val="21"/>
        </w:rPr>
        <w:tab/>
      </w:r>
      <w:r>
        <w:rPr>
          <w:rFonts w:hint="eastAsia" w:cs="Times New Roman"/>
          <w:kern w:val="0"/>
          <w:sz w:val="21"/>
          <w:szCs w:val="21"/>
        </w:rPr>
        <w:t>应采取措施避免厨房、餐厅、打印复印室、卫生间、地下车库等区域的空气和污染物串通到其他空间；应防止厨房、卫生间的排气倒灌。</w:t>
      </w:r>
    </w:p>
    <w:p w14:paraId="77FFE37B">
      <w:pPr>
        <w:pStyle w:val="2"/>
        <w:rPr>
          <w:rFonts w:ascii="微软雅黑" w:hAnsi="微软雅黑" w:eastAsia="微软雅黑"/>
        </w:rPr>
      </w:pPr>
      <w:bookmarkStart w:id="46" w:name="_Toc58243671"/>
      <w:bookmarkStart w:id="47" w:name="_Toc50050016"/>
      <w:bookmarkStart w:id="48" w:name="_Toc16370"/>
      <w:r>
        <w:rPr>
          <w:rFonts w:hint="eastAsia" w:ascii="微软雅黑" w:hAnsi="微软雅黑" w:eastAsia="微软雅黑"/>
        </w:rPr>
        <w:t>技术措施</w:t>
      </w:r>
      <w:bookmarkEnd w:id="46"/>
      <w:bookmarkEnd w:id="47"/>
      <w:bookmarkEnd w:id="48"/>
    </w:p>
    <w:p w14:paraId="763A0848">
      <w:pPr>
        <w:pStyle w:val="3"/>
        <w:ind w:firstLine="420"/>
        <w:rPr>
          <w:rFonts w:ascii="微软雅黑" w:hAnsi="微软雅黑" w:eastAsia="微软雅黑"/>
          <w:lang w:val="en-US"/>
        </w:rPr>
      </w:pPr>
      <w:r>
        <w:rPr>
          <w:rFonts w:hint="eastAsia" w:ascii="微软雅黑" w:hAnsi="微软雅黑" w:eastAsia="微软雅黑"/>
          <w:lang w:val="en-US"/>
        </w:rPr>
        <w:t>本项目采用了如下技术措施避免室内气流组织合理，防止污染物串通：</w:t>
      </w:r>
    </w:p>
    <w:tbl>
      <w:tblPr>
        <w:tblStyle w:val="23"/>
        <w:tblW w:w="84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0"/>
        <w:gridCol w:w="6112"/>
      </w:tblGrid>
      <w:tr w14:paraId="4A92E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A73AD9">
            <w:pPr>
              <w:jc w:val="center"/>
            </w:pPr>
            <w:r>
              <w:t>房间类型</w:t>
            </w:r>
          </w:p>
        </w:tc>
        <w:tc>
          <w:tcPr>
            <w:shd w:val="clear" w:color="auto" w:fill="E6E6E6"/>
            <w:vAlign w:val="center"/>
          </w:tcPr>
          <w:p w14:paraId="036E59D0">
            <w:pPr>
              <w:jc w:val="center"/>
            </w:pPr>
            <w:r>
              <w:t>措施</w:t>
            </w:r>
          </w:p>
        </w:tc>
      </w:tr>
      <w:tr w14:paraId="607C2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3F2F621">
            <w:r>
              <w:t>厨房</w:t>
            </w:r>
          </w:p>
        </w:tc>
        <w:tc>
          <w:tcPr>
            <w:vAlign w:val="center"/>
          </w:tcPr>
          <w:p w14:paraId="292DC426">
            <w:r>
              <w:t>置于自然通风负压侧</w:t>
            </w:r>
          </w:p>
        </w:tc>
      </w:tr>
      <w:tr w14:paraId="2F2BE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260FAA"/>
        </w:tc>
        <w:tc>
          <w:tcPr>
            <w:vAlign w:val="center"/>
          </w:tcPr>
          <w:p w14:paraId="6DF8EF73">
            <w:r>
              <w:t>设置可关闭的门</w:t>
            </w:r>
          </w:p>
        </w:tc>
      </w:tr>
      <w:tr w14:paraId="0C375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34C467"/>
        </w:tc>
        <w:tc>
          <w:tcPr>
            <w:vAlign w:val="center"/>
          </w:tcPr>
          <w:p w14:paraId="62EC7BA1">
            <w:r>
              <w:t>安装抽油烟机</w:t>
            </w:r>
          </w:p>
        </w:tc>
      </w:tr>
      <w:tr w14:paraId="0EDF2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07B3F7"/>
        </w:tc>
        <w:tc>
          <w:tcPr>
            <w:vAlign w:val="center"/>
          </w:tcPr>
          <w:p w14:paraId="3B730A5F">
            <w:r>
              <w:t>设置竖向排风道</w:t>
            </w:r>
          </w:p>
        </w:tc>
      </w:tr>
      <w:tr w14:paraId="336DC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F5D2C2"/>
        </w:tc>
        <w:tc>
          <w:tcPr>
            <w:vAlign w:val="center"/>
          </w:tcPr>
          <w:p w14:paraId="21562758">
            <w:r>
              <w:t>采用双烟道设计</w:t>
            </w:r>
          </w:p>
        </w:tc>
      </w:tr>
      <w:tr w14:paraId="26645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3D8704"/>
        </w:tc>
        <w:tc>
          <w:tcPr>
            <w:vAlign w:val="center"/>
          </w:tcPr>
          <w:p w14:paraId="7AD1432F">
            <w:r>
              <w:t>排气道设计有利于排气通畅</w:t>
            </w:r>
          </w:p>
        </w:tc>
      </w:tr>
      <w:tr w14:paraId="75838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B2FD5F"/>
        </w:tc>
        <w:tc>
          <w:tcPr>
            <w:vAlign w:val="center"/>
          </w:tcPr>
          <w:p w14:paraId="1FF308DE">
            <w:r>
              <w:t>安装止回排气阀、放倒灌风帽</w:t>
            </w:r>
          </w:p>
        </w:tc>
      </w:tr>
      <w:tr w14:paraId="4B529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407190"/>
        </w:tc>
        <w:tc>
          <w:tcPr>
            <w:vAlign w:val="center"/>
          </w:tcPr>
          <w:p w14:paraId="1FF7E826">
            <w:r>
              <w:t>风口位置合理，进排风无短路/无污染</w:t>
            </w:r>
          </w:p>
        </w:tc>
      </w:tr>
      <w:tr w14:paraId="4F206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15A474"/>
        </w:tc>
        <w:tc>
          <w:tcPr>
            <w:vAlign w:val="center"/>
          </w:tcPr>
          <w:p w14:paraId="06052959">
            <w:r>
              <w:t>排放位置合理，远离其他空间/室外人员活动区</w:t>
            </w:r>
          </w:p>
        </w:tc>
      </w:tr>
      <w:tr w14:paraId="702009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DC9D7D2">
            <w:r>
              <w:t>卫生间</w:t>
            </w:r>
          </w:p>
        </w:tc>
        <w:tc>
          <w:tcPr>
            <w:vAlign w:val="center"/>
          </w:tcPr>
          <w:p w14:paraId="047236AF">
            <w:r>
              <w:t>置于自然通风负压侧</w:t>
            </w:r>
          </w:p>
        </w:tc>
      </w:tr>
      <w:tr w14:paraId="20F5A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E5E3F7"/>
        </w:tc>
        <w:tc>
          <w:tcPr>
            <w:vAlign w:val="center"/>
          </w:tcPr>
          <w:p w14:paraId="4181374A">
            <w:r>
              <w:t>设置可关闭的门</w:t>
            </w:r>
          </w:p>
        </w:tc>
      </w:tr>
      <w:tr w14:paraId="36D95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344AAA"/>
        </w:tc>
        <w:tc>
          <w:tcPr>
            <w:vAlign w:val="center"/>
          </w:tcPr>
          <w:p w14:paraId="7B2531D8">
            <w:r>
              <w:t>安装排气扇</w:t>
            </w:r>
          </w:p>
        </w:tc>
      </w:tr>
      <w:tr w14:paraId="42937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B86641"/>
        </w:tc>
        <w:tc>
          <w:tcPr>
            <w:vAlign w:val="center"/>
          </w:tcPr>
          <w:p w14:paraId="2F523A05">
            <w:r>
              <w:t>设置竖向排风道</w:t>
            </w:r>
          </w:p>
        </w:tc>
      </w:tr>
      <w:tr w14:paraId="54C2C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8DBACA"/>
        </w:tc>
        <w:tc>
          <w:tcPr>
            <w:vAlign w:val="center"/>
          </w:tcPr>
          <w:p w14:paraId="48E1C393">
            <w:r>
              <w:t>排气道设计有利于排气通畅</w:t>
            </w:r>
          </w:p>
        </w:tc>
      </w:tr>
      <w:tr w14:paraId="714E1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49C9AB"/>
        </w:tc>
        <w:tc>
          <w:tcPr>
            <w:vAlign w:val="center"/>
          </w:tcPr>
          <w:p w14:paraId="405F44DD">
            <w:r>
              <w:t>安装止回排气阀、放倒灌风帽</w:t>
            </w:r>
          </w:p>
        </w:tc>
      </w:tr>
      <w:tr w14:paraId="07EB4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25B625"/>
        </w:tc>
        <w:tc>
          <w:tcPr>
            <w:vAlign w:val="center"/>
          </w:tcPr>
          <w:p w14:paraId="4A872737">
            <w:r>
              <w:t>风口位置合理，进排风无短路/无污染</w:t>
            </w:r>
          </w:p>
        </w:tc>
      </w:tr>
      <w:tr w14:paraId="4920D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41C522"/>
        </w:tc>
        <w:tc>
          <w:tcPr>
            <w:vAlign w:val="center"/>
          </w:tcPr>
          <w:p w14:paraId="74651BA2">
            <w:r>
              <w:t>排放位置合理，远离其他空间/室外人员活动区</w:t>
            </w:r>
          </w:p>
        </w:tc>
      </w:tr>
      <w:tr w14:paraId="4BE37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6212C2"/>
        </w:tc>
        <w:tc>
          <w:tcPr>
            <w:vAlign w:val="center"/>
          </w:tcPr>
          <w:p w14:paraId="2699CE1D">
            <w:r>
              <w:t>设置气窗（公共卫生间、浴室）</w:t>
            </w:r>
          </w:p>
        </w:tc>
      </w:tr>
      <w:tr w14:paraId="79789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55FD42E">
            <w:r>
              <w:t>餐厅</w:t>
            </w:r>
          </w:p>
        </w:tc>
        <w:tc>
          <w:tcPr>
            <w:vAlign w:val="center"/>
          </w:tcPr>
          <w:p w14:paraId="4AE99BA0">
            <w:r>
              <w:t>设置可关闭的门</w:t>
            </w:r>
          </w:p>
        </w:tc>
      </w:tr>
      <w:tr w14:paraId="249C1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331FDA"/>
        </w:tc>
        <w:tc>
          <w:tcPr>
            <w:vAlign w:val="center"/>
          </w:tcPr>
          <w:p w14:paraId="4ACA65F8">
            <w:r>
              <w:t>安装抽油烟机</w:t>
            </w:r>
          </w:p>
        </w:tc>
      </w:tr>
      <w:tr w14:paraId="10365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9EE6C2"/>
        </w:tc>
        <w:tc>
          <w:tcPr>
            <w:vAlign w:val="center"/>
          </w:tcPr>
          <w:p w14:paraId="6AC57890">
            <w:r>
              <w:t>设置负压排风系统</w:t>
            </w:r>
          </w:p>
        </w:tc>
      </w:tr>
      <w:tr w14:paraId="23A5B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AA0926"/>
        </w:tc>
        <w:tc>
          <w:tcPr>
            <w:vAlign w:val="center"/>
          </w:tcPr>
          <w:p w14:paraId="69036D8A">
            <w:r>
              <w:t>风口位置合理，进排风无短路/无污染</w:t>
            </w:r>
          </w:p>
        </w:tc>
      </w:tr>
      <w:tr w14:paraId="5F2C82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9E9447"/>
        </w:tc>
        <w:tc>
          <w:tcPr>
            <w:vAlign w:val="center"/>
          </w:tcPr>
          <w:p w14:paraId="36E34162">
            <w:r>
              <w:t>排放位置合理，远离其他空间/室外人员活动区</w:t>
            </w:r>
          </w:p>
        </w:tc>
      </w:tr>
      <w:tr w14:paraId="07B36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E5C5F75">
            <w:r>
              <w:t>打印复印室</w:t>
            </w:r>
          </w:p>
        </w:tc>
        <w:tc>
          <w:tcPr>
            <w:vAlign w:val="center"/>
          </w:tcPr>
          <w:p w14:paraId="0F449AC1">
            <w:r>
              <w:t>设置可关闭的门</w:t>
            </w:r>
          </w:p>
        </w:tc>
      </w:tr>
      <w:tr w14:paraId="470E8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E23AFB"/>
        </w:tc>
        <w:tc>
          <w:tcPr>
            <w:vAlign w:val="center"/>
          </w:tcPr>
          <w:p w14:paraId="684F8C01">
            <w:r>
              <w:t>设置负压机械排风</w:t>
            </w:r>
          </w:p>
        </w:tc>
      </w:tr>
      <w:tr w14:paraId="6381F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9F1449"/>
        </w:tc>
        <w:tc>
          <w:tcPr>
            <w:vAlign w:val="center"/>
          </w:tcPr>
          <w:p w14:paraId="0E65129C">
            <w:r>
              <w:t>安装止回排气阀、放倒灌风帽</w:t>
            </w:r>
          </w:p>
        </w:tc>
      </w:tr>
      <w:tr w14:paraId="3A2DD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DAFD3F"/>
        </w:tc>
        <w:tc>
          <w:tcPr>
            <w:vAlign w:val="center"/>
          </w:tcPr>
          <w:p w14:paraId="0EA59FF2">
            <w:r>
              <w:t>风口位置合理，无短路/无污染</w:t>
            </w:r>
          </w:p>
        </w:tc>
      </w:tr>
      <w:tr w14:paraId="44831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B01E1A"/>
        </w:tc>
        <w:tc>
          <w:tcPr>
            <w:vAlign w:val="center"/>
          </w:tcPr>
          <w:p w14:paraId="7BF86234">
            <w:r>
              <w:t>排放位置合理，远离其他空间/室外人员活动区</w:t>
            </w:r>
          </w:p>
        </w:tc>
      </w:tr>
      <w:tr w14:paraId="123FB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C5D8753">
            <w:r>
              <w:t>地下车库</w:t>
            </w:r>
          </w:p>
        </w:tc>
        <w:tc>
          <w:tcPr>
            <w:vAlign w:val="center"/>
          </w:tcPr>
          <w:p w14:paraId="71CF0213">
            <w:r>
              <w:t>设置可关闭的门</w:t>
            </w:r>
          </w:p>
        </w:tc>
      </w:tr>
      <w:tr w14:paraId="3AE20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F5AA22"/>
        </w:tc>
        <w:tc>
          <w:tcPr>
            <w:vAlign w:val="center"/>
          </w:tcPr>
          <w:p w14:paraId="313729B6">
            <w:r>
              <w:t>设置负压机械排风</w:t>
            </w:r>
          </w:p>
        </w:tc>
      </w:tr>
      <w:tr w14:paraId="7C74D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18F73C"/>
        </w:tc>
        <w:tc>
          <w:tcPr>
            <w:vAlign w:val="center"/>
          </w:tcPr>
          <w:p w14:paraId="71FBA6D4">
            <w:r>
              <w:t>安装止回排气阀、放倒灌风帽</w:t>
            </w:r>
          </w:p>
        </w:tc>
      </w:tr>
      <w:tr w14:paraId="63CBE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DF3FD5"/>
        </w:tc>
        <w:tc>
          <w:tcPr>
            <w:vAlign w:val="center"/>
          </w:tcPr>
          <w:p w14:paraId="6B109AF8">
            <w:r>
              <w:t>风口位置合理，无短路/无污染</w:t>
            </w:r>
          </w:p>
        </w:tc>
      </w:tr>
      <w:tr w14:paraId="7784C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5C9203"/>
        </w:tc>
        <w:tc>
          <w:tcPr>
            <w:vAlign w:val="center"/>
          </w:tcPr>
          <w:p w14:paraId="3358718D">
            <w:r>
              <w:t>排风系统独立</w:t>
            </w:r>
          </w:p>
        </w:tc>
      </w:tr>
      <w:tr w14:paraId="71C58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C0C5A9"/>
        </w:tc>
        <w:tc>
          <w:tcPr>
            <w:vAlign w:val="center"/>
          </w:tcPr>
          <w:p w14:paraId="51D84D82">
            <w:r>
              <w:t>排放位置合理，远离其他空间/室外人员活动区</w:t>
            </w:r>
          </w:p>
        </w:tc>
      </w:tr>
      <w:tr w14:paraId="6C52F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F483744">
            <w:r>
              <w:t>垃圾房</w:t>
            </w:r>
          </w:p>
        </w:tc>
        <w:tc>
          <w:tcPr>
            <w:vAlign w:val="center"/>
          </w:tcPr>
          <w:p w14:paraId="073EC81A">
            <w:r>
              <w:t>设置可关闭的门</w:t>
            </w:r>
          </w:p>
        </w:tc>
      </w:tr>
      <w:tr w14:paraId="11A4D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F0F7DB"/>
        </w:tc>
        <w:tc>
          <w:tcPr>
            <w:vAlign w:val="center"/>
          </w:tcPr>
          <w:p w14:paraId="7E4C61BE">
            <w:r>
              <w:t>设置负压机械排风</w:t>
            </w:r>
          </w:p>
        </w:tc>
      </w:tr>
      <w:tr w14:paraId="47471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B13B64"/>
        </w:tc>
        <w:tc>
          <w:tcPr>
            <w:vAlign w:val="center"/>
          </w:tcPr>
          <w:p w14:paraId="79DEF7D3">
            <w:r>
              <w:t>安装止回排气阀、放倒灌风帽</w:t>
            </w:r>
          </w:p>
        </w:tc>
      </w:tr>
      <w:tr w14:paraId="0D13F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0F3651"/>
        </w:tc>
        <w:tc>
          <w:tcPr>
            <w:vAlign w:val="center"/>
          </w:tcPr>
          <w:p w14:paraId="21759EB2">
            <w:r>
              <w:t>风口位置合理，无短路/无污染</w:t>
            </w:r>
          </w:p>
        </w:tc>
      </w:tr>
      <w:tr w14:paraId="7B02F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43D6B4"/>
        </w:tc>
        <w:tc>
          <w:tcPr>
            <w:vAlign w:val="center"/>
          </w:tcPr>
          <w:p w14:paraId="7F925140">
            <w:r>
              <w:t>排风系统独立</w:t>
            </w:r>
          </w:p>
        </w:tc>
      </w:tr>
      <w:tr w14:paraId="540E5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4E586F"/>
        </w:tc>
        <w:tc>
          <w:tcPr>
            <w:vAlign w:val="center"/>
          </w:tcPr>
          <w:p w14:paraId="6CAC7ECF">
            <w:r>
              <w:t>排放位置合理，远离其他空间/室外人员活动区</w:t>
            </w:r>
          </w:p>
        </w:tc>
      </w:tr>
    </w:tbl>
    <w:p w14:paraId="13B4F656">
      <w:pPr>
        <w:pStyle w:val="3"/>
        <w:ind w:firstLine="420"/>
        <w:rPr>
          <w:rFonts w:ascii="微软雅黑" w:hAnsi="微软雅黑" w:eastAsia="微软雅黑"/>
          <w:lang w:val="en-US"/>
        </w:rPr>
      </w:pPr>
      <w:bookmarkStart w:id="49" w:name="技术措施"/>
      <w:bookmarkEnd w:id="49"/>
    </w:p>
    <w:p w14:paraId="050B7E0F">
      <w:pPr>
        <w:pStyle w:val="2"/>
        <w:rPr>
          <w:rFonts w:ascii="微软雅黑" w:hAnsi="微软雅黑" w:eastAsia="微软雅黑"/>
        </w:rPr>
      </w:pPr>
      <w:bookmarkStart w:id="50" w:name="_Toc58243672"/>
      <w:bookmarkStart w:id="51" w:name="_Toc50050017"/>
      <w:bookmarkStart w:id="52" w:name="_Toc10213"/>
      <w:r>
        <w:rPr>
          <w:rFonts w:hint="eastAsia" w:ascii="微软雅黑" w:hAnsi="微软雅黑" w:eastAsia="微软雅黑"/>
        </w:rPr>
        <w:t>计算</w:t>
      </w:r>
      <w:bookmarkEnd w:id="42"/>
      <w:bookmarkEnd w:id="43"/>
      <w:r>
        <w:rPr>
          <w:rFonts w:hint="eastAsia" w:ascii="微软雅黑" w:hAnsi="微软雅黑" w:eastAsia="微软雅黑"/>
        </w:rPr>
        <w:t>方法</w:t>
      </w:r>
      <w:bookmarkEnd w:id="50"/>
      <w:bookmarkEnd w:id="51"/>
      <w:bookmarkEnd w:id="52"/>
    </w:p>
    <w:p w14:paraId="634DE992">
      <w:pPr>
        <w:pStyle w:val="3"/>
        <w:ind w:firstLine="420"/>
        <w:rPr>
          <w:rFonts w:ascii="微软雅黑" w:hAnsi="微软雅黑" w:eastAsia="微软雅黑"/>
          <w:lang w:val="en-US"/>
        </w:rPr>
      </w:pPr>
      <w:r>
        <w:rPr>
          <w:rFonts w:hint="eastAsia" w:ascii="微软雅黑" w:hAnsi="微软雅黑" w:eastAsia="微软雅黑"/>
          <w:lang w:val="en-US"/>
        </w:rPr>
        <w:t xml:space="preserve">本项目首先采用CFD计算得出室内流速分布和气流方向，从整体上展示室内风速和气流组织，为室内优化设 </w:t>
      </w:r>
      <w:r>
        <w:rPr>
          <w:rFonts w:ascii="微软雅黑" w:hAnsi="微软雅黑" w:eastAsia="微软雅黑"/>
          <w:lang w:val="en-US"/>
        </w:rPr>
        <w:t xml:space="preserve"> </w:t>
      </w:r>
      <w:r>
        <w:rPr>
          <w:rFonts w:hint="eastAsia" w:ascii="微软雅黑" w:hAnsi="微软雅黑" w:eastAsia="微软雅黑"/>
          <w:lang w:val="en-US"/>
        </w:rPr>
        <w:t>计提供依据。</w:t>
      </w:r>
    </w:p>
    <w:p w14:paraId="6E5270E8">
      <w:pPr>
        <w:pStyle w:val="4"/>
        <w:rPr>
          <w:rFonts w:ascii="微软雅黑" w:hAnsi="微软雅黑" w:eastAsia="微软雅黑"/>
        </w:rPr>
      </w:pPr>
      <w:bookmarkStart w:id="53" w:name="_Toc58243673"/>
      <w:bookmarkStart w:id="54" w:name="_Toc50050018"/>
      <w:bookmarkStart w:id="55" w:name="_Toc27149"/>
      <w:r>
        <w:rPr>
          <w:rFonts w:ascii="微软雅黑" w:hAnsi="微软雅黑" w:eastAsia="微软雅黑"/>
        </w:rPr>
        <w:t>CFD</w:t>
      </w:r>
      <w:r>
        <w:rPr>
          <w:rFonts w:hint="eastAsia" w:ascii="微软雅黑" w:hAnsi="微软雅黑" w:eastAsia="微软雅黑"/>
        </w:rPr>
        <w:t>计算原理</w:t>
      </w:r>
      <w:bookmarkEnd w:id="53"/>
      <w:bookmarkEnd w:id="54"/>
      <w:bookmarkEnd w:id="55"/>
    </w:p>
    <w:p w14:paraId="115A82F7">
      <w:pPr>
        <w:pStyle w:val="5"/>
        <w:rPr>
          <w:rFonts w:ascii="微软雅黑" w:hAnsi="微软雅黑" w:eastAsia="微软雅黑"/>
        </w:rPr>
      </w:pPr>
      <w:bookmarkStart w:id="56" w:name="_Toc58243674"/>
      <w:bookmarkStart w:id="57" w:name="_Toc50050019"/>
      <w:bookmarkStart w:id="58" w:name="_Toc451698937"/>
      <w:bookmarkStart w:id="59" w:name="_Toc452108765"/>
      <w:r>
        <w:rPr>
          <w:rFonts w:hint="eastAsia" w:ascii="微软雅黑" w:hAnsi="微软雅黑" w:eastAsia="微软雅黑"/>
        </w:rPr>
        <w:t>湍流模型</w:t>
      </w:r>
      <w:bookmarkEnd w:id="56"/>
      <w:bookmarkEnd w:id="57"/>
    </w:p>
    <w:p w14:paraId="41A01094">
      <w:pPr>
        <w:pStyle w:val="3"/>
        <w:ind w:firstLine="420" w:firstLineChars="0"/>
        <w:jc w:val="left"/>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242A1C5B">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1  </w:t>
      </w:r>
      <w:r>
        <w:rPr>
          <w:rFonts w:hint="eastAsia" w:ascii="微软雅黑" w:hAnsi="微软雅黑" w:eastAsia="微软雅黑"/>
          <w:sz w:val="18"/>
          <w:szCs w:val="18"/>
        </w:rPr>
        <w:t>常用湍流模型适用范围</w:t>
      </w:r>
    </w:p>
    <w:tbl>
      <w:tblPr>
        <w:tblStyle w:val="23"/>
        <w:tblW w:w="8379" w:type="dxa"/>
        <w:tblInd w:w="93" w:type="dxa"/>
        <w:tblLayout w:type="fixed"/>
        <w:tblCellMar>
          <w:top w:w="0" w:type="dxa"/>
          <w:left w:w="108" w:type="dxa"/>
          <w:bottom w:w="0" w:type="dxa"/>
          <w:right w:w="108" w:type="dxa"/>
        </w:tblCellMar>
      </w:tblPr>
      <w:tblGrid>
        <w:gridCol w:w="2000"/>
        <w:gridCol w:w="6379"/>
      </w:tblGrid>
      <w:tr w14:paraId="4FE3B06B">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04F3E58C">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267848F3">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特点和适用工况</w:t>
            </w:r>
          </w:p>
        </w:tc>
      </w:tr>
      <w:tr w14:paraId="7536B285">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748AA1D7">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 standard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48794121">
            <w:pPr>
              <w:rPr>
                <w:rFonts w:ascii="微软雅黑" w:hAnsi="微软雅黑" w:eastAsia="微软雅黑" w:cs="宋体"/>
                <w:sz w:val="18"/>
                <w:szCs w:val="18"/>
              </w:rPr>
            </w:pPr>
            <w:r>
              <w:rPr>
                <w:rFonts w:hint="eastAsia" w:ascii="微软雅黑" w:hAnsi="微软雅黑" w:eastAsia="微软雅黑" w:cs="宋体"/>
                <w:sz w:val="18"/>
                <w:szCs w:val="18"/>
              </w:rPr>
              <w:t>简单的工业流场和热交换模拟，无较大压力梯度、分离、强曲率流，适用于初始的参数研究</w:t>
            </w:r>
          </w:p>
        </w:tc>
      </w:tr>
      <w:tr w14:paraId="78F4B98B">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2BC9DCA1">
            <w:pPr>
              <w:jc w:val="center"/>
              <w:rPr>
                <w:rFonts w:ascii="微软雅黑" w:hAnsi="微软雅黑" w:eastAsia="微软雅黑" w:cs="宋体"/>
                <w:sz w:val="18"/>
                <w:szCs w:val="18"/>
              </w:rPr>
            </w:pPr>
            <w:r>
              <w:rPr>
                <w:rFonts w:hint="eastAsia" w:ascii="微软雅黑" w:hAnsi="微软雅黑" w:eastAsia="微软雅黑" w:cs="宋体"/>
                <w:sz w:val="18"/>
                <w:szCs w:val="18"/>
              </w:rPr>
              <w:t>RNG k-ε</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6C4658F0">
            <w:pPr>
              <w:rPr>
                <w:rFonts w:ascii="微软雅黑" w:hAnsi="微软雅黑" w:eastAsia="微软雅黑" w:cs="宋体"/>
                <w:sz w:val="18"/>
                <w:szCs w:val="18"/>
              </w:rPr>
            </w:pPr>
            <w:r>
              <w:rPr>
                <w:rFonts w:hint="eastAsia" w:ascii="微软雅黑" w:hAnsi="微软雅黑" w:eastAsia="微软雅黑" w:cs="宋体"/>
                <w:sz w:val="18"/>
                <w:szCs w:val="18"/>
              </w:rPr>
              <w:t>适合包括快速应变的复杂剪切流、中等旋涡流动、局部转捩流如边界层分离、钝体尾迹涡、大角度失速、房间通风、室外空气流动</w:t>
            </w:r>
          </w:p>
        </w:tc>
      </w:tr>
      <w:tr w14:paraId="0933DBBE">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6FB3D9CE">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realizable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4BA243E6">
            <w:pPr>
              <w:rPr>
                <w:rFonts w:ascii="微软雅黑" w:hAnsi="微软雅黑" w:eastAsia="微软雅黑" w:cs="宋体"/>
                <w:sz w:val="18"/>
                <w:szCs w:val="18"/>
              </w:rPr>
            </w:pPr>
            <w:r>
              <w:rPr>
                <w:rFonts w:hint="eastAsia" w:ascii="微软雅黑" w:hAnsi="微软雅黑" w:eastAsia="微软雅黑" w:cs="宋体"/>
                <w:sz w:val="18"/>
                <w:szCs w:val="18"/>
              </w:rPr>
              <w:t>旋转流动、强逆压梯度的边界层流动、流动分离和二次流，类似于RNG</w:t>
            </w:r>
          </w:p>
        </w:tc>
      </w:tr>
    </w:tbl>
    <w:p w14:paraId="5E322AD4">
      <w:pPr>
        <w:pStyle w:val="5"/>
        <w:tabs>
          <w:tab w:val="left" w:pos="360"/>
        </w:tabs>
        <w:ind w:left="0" w:firstLine="0"/>
        <w:rPr>
          <w:rFonts w:ascii="微软雅黑" w:hAnsi="微软雅黑" w:eastAsia="微软雅黑"/>
        </w:rPr>
      </w:pPr>
      <w:bookmarkStart w:id="60" w:name="_Toc451698938"/>
      <w:bookmarkStart w:id="61" w:name="_Toc50050020"/>
      <w:bookmarkStart w:id="62" w:name="_Toc58243675"/>
      <w:bookmarkStart w:id="63" w:name="_Toc8151"/>
      <w:bookmarkStart w:id="64" w:name="_Toc452108766"/>
      <w:r>
        <w:rPr>
          <w:rFonts w:hint="eastAsia" w:ascii="微软雅黑" w:hAnsi="微软雅黑" w:eastAsia="微软雅黑"/>
        </w:rPr>
        <w:t>边界条件</w:t>
      </w:r>
      <w:bookmarkEnd w:id="60"/>
      <w:bookmarkEnd w:id="61"/>
      <w:bookmarkEnd w:id="62"/>
      <w:bookmarkEnd w:id="63"/>
      <w:bookmarkEnd w:id="64"/>
    </w:p>
    <w:p w14:paraId="586F0E7F">
      <w:pPr>
        <w:spacing w:line="400" w:lineRule="atLeast"/>
        <w:ind w:firstLine="435"/>
        <w:rPr>
          <w:rFonts w:ascii="微软雅黑" w:hAnsi="微软雅黑" w:eastAsia="微软雅黑"/>
          <w:szCs w:val="21"/>
        </w:rPr>
      </w:pPr>
      <w:r>
        <w:rPr>
          <w:rFonts w:hint="eastAsia" w:ascii="微软雅黑" w:hAnsi="微软雅黑" w:eastAsia="微软雅黑"/>
          <w:b/>
          <w:szCs w:val="21"/>
        </w:rPr>
        <w:t>进风窗口</w:t>
      </w:r>
      <w:r>
        <w:rPr>
          <w:rFonts w:hint="eastAsia" w:ascii="微软雅黑" w:hAnsi="微软雅黑" w:eastAsia="微软雅黑"/>
          <w:szCs w:val="21"/>
        </w:rPr>
        <w:t>：采用压强边界条件；</w:t>
      </w:r>
    </w:p>
    <w:p w14:paraId="6AD94BB2">
      <w:pPr>
        <w:spacing w:line="400" w:lineRule="atLeast"/>
        <w:ind w:firstLine="435"/>
        <w:rPr>
          <w:rFonts w:ascii="微软雅黑" w:hAnsi="微软雅黑" w:eastAsia="微软雅黑"/>
          <w:szCs w:val="21"/>
        </w:rPr>
      </w:pPr>
      <w:r>
        <w:rPr>
          <w:rFonts w:hint="eastAsia" w:ascii="微软雅黑" w:hAnsi="微软雅黑" w:eastAsia="微软雅黑"/>
          <w:b/>
          <w:szCs w:val="21"/>
        </w:rPr>
        <w:t>排风窗口</w:t>
      </w:r>
      <w:r>
        <w:rPr>
          <w:rFonts w:hint="eastAsia" w:ascii="微软雅黑" w:hAnsi="微软雅黑" w:eastAsia="微软雅黑"/>
          <w:szCs w:val="21"/>
        </w:rPr>
        <w:t>：采用压强边界条件。</w:t>
      </w:r>
    </w:p>
    <w:p w14:paraId="3D987D67">
      <w:pPr>
        <w:pStyle w:val="5"/>
        <w:tabs>
          <w:tab w:val="left" w:pos="360"/>
        </w:tabs>
        <w:ind w:left="0" w:firstLine="0"/>
        <w:rPr>
          <w:rFonts w:ascii="微软雅黑" w:hAnsi="微软雅黑" w:eastAsia="微软雅黑"/>
        </w:rPr>
      </w:pPr>
      <w:bookmarkStart w:id="65" w:name="_Toc451698939"/>
      <w:bookmarkStart w:id="66" w:name="_Toc50050021"/>
      <w:bookmarkStart w:id="67" w:name="_Toc58243676"/>
      <w:bookmarkStart w:id="68" w:name="_Toc23583"/>
      <w:bookmarkStart w:id="69" w:name="_Toc452108767"/>
      <w:r>
        <w:rPr>
          <w:rFonts w:hint="eastAsia" w:ascii="微软雅黑" w:hAnsi="微软雅黑" w:eastAsia="微软雅黑"/>
        </w:rPr>
        <w:t>求解计算</w:t>
      </w:r>
      <w:bookmarkEnd w:id="65"/>
      <w:bookmarkEnd w:id="66"/>
      <w:bookmarkEnd w:id="67"/>
      <w:bookmarkEnd w:id="68"/>
      <w:bookmarkEnd w:id="69"/>
    </w:p>
    <w:p w14:paraId="632196CB">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14:paraId="013DA6AB">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0828AEF6">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18039E59">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1CA9E921">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3"/>
        <w:tblW w:w="8506" w:type="dxa"/>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5103"/>
      </w:tblGrid>
      <w:tr w14:paraId="0E79D3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5B2A3CDF">
            <w:pPr>
              <w:widowControl w:val="0"/>
              <w:jc w:val="both"/>
              <w:rPr>
                <w:rFonts w:ascii="微软雅黑" w:hAnsi="微软雅黑" w:eastAsia="微软雅黑" w:cs="Calibri"/>
                <w:b/>
                <w:bCs/>
                <w:kern w:val="2"/>
                <w:sz w:val="18"/>
                <w:szCs w:val="18"/>
              </w:rPr>
            </w:pPr>
            <w:r>
              <w:rPr>
                <w:rFonts w:hint="eastAsia" w:ascii="微软雅黑" w:hAnsi="微软雅黑" w:eastAsia="微软雅黑"/>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7081BAD4">
            <w:pPr>
              <w:widowControl w:val="0"/>
              <w:jc w:val="center"/>
              <w:rPr>
                <w:rFonts w:ascii="微软雅黑" w:hAnsi="微软雅黑" w:eastAsia="微软雅黑" w:cs="Calibri"/>
                <w:b/>
                <w:bCs/>
                <w:kern w:val="2"/>
                <w:sz w:val="18"/>
                <w:szCs w:val="18"/>
              </w:rPr>
            </w:pPr>
            <w:r>
              <w:rPr>
                <w:rFonts w:hint="eastAsia" w:ascii="微软雅黑" w:hAnsi="微软雅黑" w:eastAsia="微软雅黑"/>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114E2207">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m:sty m:val="p"/>
                      </m:rPr>
                      <w:rPr>
                        <w:rFonts w:ascii="Cambria Math" w:hAnsi="Cambria Math" w:eastAsia="微软雅黑" w:cs="Calibri"/>
                        <w:kern w:val="2"/>
                        <w:sz w:val="18"/>
                        <w:szCs w:val="18"/>
                      </w:rPr>
                      <m:t>Γ</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c>
          <w:tcPr>
            <w:tcW w:w="5103" w:type="dxa"/>
            <w:tcBorders>
              <w:top w:val="single" w:color="auto" w:sz="4" w:space="0"/>
              <w:left w:val="single" w:color="auto" w:sz="6" w:space="0"/>
              <w:bottom w:val="single" w:color="auto" w:sz="6" w:space="0"/>
              <w:right w:val="single" w:color="auto" w:sz="4" w:space="0"/>
            </w:tcBorders>
            <w:shd w:val="clear" w:color="auto" w:fill="C0C0C0"/>
            <w:vAlign w:val="center"/>
          </w:tcPr>
          <w:p w14:paraId="68C14385">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w:rPr>
                        <w:rFonts w:ascii="Cambria Math" w:hAnsi="Cambria Math" w:eastAsia="微软雅黑" w:cs="Calibri"/>
                        <w:kern w:val="2"/>
                        <w:sz w:val="18"/>
                        <w:szCs w:val="18"/>
                      </w:rPr>
                      <m:t>S</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r>
      <w:tr w14:paraId="6FA779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212A024">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36C298D5">
            <w:pPr>
              <w:widowControl w:val="0"/>
              <w:jc w:val="center"/>
              <w:rPr>
                <w:rFonts w:ascii="微软雅黑" w:hAnsi="微软雅黑" w:eastAsia="微软雅黑" w:cs="Calibri"/>
                <w:kern w:val="2"/>
                <w:sz w:val="18"/>
                <w:szCs w:val="18"/>
              </w:rPr>
            </w:pPr>
            <w:r>
              <w:rPr>
                <w:rFonts w:ascii="微软雅黑" w:hAnsi="微软雅黑" w:eastAsia="微软雅黑"/>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5A825A77">
            <w:pPr>
              <w:widowControl w:val="0"/>
              <w:rPr>
                <w:rFonts w:ascii="微软雅黑" w:hAnsi="微软雅黑" w:eastAsia="微软雅黑" w:cs="Calibri"/>
                <w:kern w:val="2"/>
                <w:sz w:val="18"/>
                <w:szCs w:val="18"/>
              </w:rPr>
            </w:pPr>
            <w:r>
              <w:rPr>
                <w:rFonts w:ascii="微软雅黑" w:hAnsi="微软雅黑" w:eastAsia="微软雅黑"/>
                <w:sz w:val="18"/>
                <w:szCs w:val="18"/>
              </w:rPr>
              <w:t>0</w:t>
            </w:r>
          </w:p>
        </w:tc>
        <w:tc>
          <w:tcPr>
            <w:tcW w:w="5103" w:type="dxa"/>
            <w:tcBorders>
              <w:top w:val="single" w:color="auto" w:sz="6" w:space="0"/>
              <w:left w:val="single" w:color="auto" w:sz="6" w:space="0"/>
              <w:bottom w:val="single" w:color="auto" w:sz="6" w:space="0"/>
              <w:right w:val="single" w:color="auto" w:sz="4" w:space="0"/>
            </w:tcBorders>
            <w:vAlign w:val="center"/>
          </w:tcPr>
          <w:p w14:paraId="62A84BA7">
            <w:pPr>
              <w:widowControl w:val="0"/>
              <w:jc w:val="both"/>
              <w:rPr>
                <w:rFonts w:ascii="微软雅黑" w:hAnsi="微软雅黑" w:eastAsia="微软雅黑" w:cs="Calibri"/>
                <w:kern w:val="2"/>
                <w:sz w:val="18"/>
                <w:szCs w:val="18"/>
              </w:rPr>
            </w:pPr>
            <w:r>
              <w:rPr>
                <w:rFonts w:ascii="微软雅黑" w:hAnsi="微软雅黑" w:eastAsia="微软雅黑"/>
                <w:sz w:val="18"/>
                <w:szCs w:val="18"/>
              </w:rPr>
              <w:t>0</w:t>
            </w:r>
          </w:p>
        </w:tc>
      </w:tr>
      <w:tr w14:paraId="212116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9445DDD">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x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51FC9D02">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7BBFD51">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7CB730F2">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756116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5E70786">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y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549B20AE">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530961D5">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2D97D7A6">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53AF6E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5C4E3E8">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z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4578224F">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E3CD720">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58C2CC27">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−ρg</m:t>
                </m:r>
              </m:oMath>
            </m:oMathPara>
          </w:p>
        </w:tc>
      </w:tr>
      <w:tr w14:paraId="155E9D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C848564">
            <w:pPr>
              <w:rPr>
                <w:rFonts w:ascii="微软雅黑" w:hAnsi="微软雅黑" w:eastAsia="微软雅黑" w:cs="Calibri"/>
                <w:kern w:val="2"/>
                <w:sz w:val="18"/>
                <w:szCs w:val="18"/>
              </w:rPr>
            </w:pPr>
            <w:r>
              <w:rPr>
                <w:rFonts w:hint="eastAsia" w:ascii="微软雅黑" w:hAnsi="微软雅黑" w:eastAsia="微软雅黑"/>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32D37639">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0CE30F7E">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12792382">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color w:val="000000"/>
                        <w:kern w:val="2"/>
                        <w:sz w:val="18"/>
                        <w:szCs w:val="18"/>
                      </w:rPr>
                    </m:ctrlPr>
                  </m:sub>
                </m:sSub>
                <m:r>
                  <m:rPr/>
                  <w:rPr>
                    <w:rFonts w:ascii="Cambria Math" w:hAnsi="Cambria Math" w:eastAsia="微软雅黑" w:cs="Calibri"/>
                    <w:color w:val="000000"/>
                    <w:kern w:val="2"/>
                    <w:sz w:val="18"/>
                    <w:szCs w:val="18"/>
                  </w:rPr>
                  <m:t>−ρε</m:t>
                </m:r>
              </m:oMath>
            </m:oMathPara>
          </w:p>
        </w:tc>
      </w:tr>
      <w:tr w14:paraId="4E7566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CA67CFD">
            <w:pPr>
              <w:rPr>
                <w:rFonts w:ascii="微软雅黑" w:hAnsi="微软雅黑" w:eastAsia="微软雅黑" w:cs="Calibri"/>
                <w:kern w:val="2"/>
                <w:sz w:val="18"/>
                <w:szCs w:val="18"/>
              </w:rPr>
            </w:pPr>
            <w:r>
              <w:rPr>
                <w:rFonts w:hint="eastAsia" w:ascii="微软雅黑" w:hAnsi="微软雅黑" w:eastAsia="微软雅黑"/>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54449600">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56893FCA">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3C1A3EB4">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1ε</m:t>
                    </m:r>
                    <m:ctrlPr>
                      <w:rPr>
                        <w:rFonts w:ascii="Cambria Math" w:hAnsi="Cambria Math" w:eastAsia="微软雅黑" w:cs="Calibri"/>
                        <w:color w:val="000000"/>
                        <w:kern w:val="2"/>
                        <w:sz w:val="18"/>
                        <w:szCs w:val="18"/>
                      </w:rPr>
                    </m:ctrlPr>
                  </m:sub>
                </m:sSub>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3ε</m:t>
                        </m:r>
                        <m:ctrlPr>
                          <w:rPr>
                            <w:rFonts w:ascii="Cambria Math" w:hAnsi="Cambria Math" w:eastAsia="微软雅黑" w:cs="Calibri"/>
                            <w:i/>
                            <w:color w:val="000000"/>
                            <w:kern w:val="2"/>
                            <w:sz w:val="18"/>
                            <w:szCs w:val="18"/>
                          </w:rPr>
                        </m:ctrlPr>
                      </m:sub>
                    </m:sSub>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i/>
                            <w:color w:val="000000"/>
                            <w:kern w:val="2"/>
                            <w:sz w:val="18"/>
                            <w:szCs w:val="18"/>
                          </w:rPr>
                        </m:ctrlPr>
                      </m:sub>
                    </m:sSub>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2ε</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ρ</m:t>
                </m:r>
                <m:f>
                  <m:fPr>
                    <m:ctrlPr>
                      <w:rPr>
                        <w:rFonts w:ascii="Cambria Math" w:hAnsi="Cambria Math" w:eastAsia="微软雅黑" w:cs="Calibri"/>
                        <w:i/>
                        <w:color w:val="000000"/>
                        <w:kern w:val="2"/>
                        <w:sz w:val="18"/>
                        <w:szCs w:val="18"/>
                      </w:rPr>
                    </m:ctrlPr>
                  </m:fPr>
                  <m:num>
                    <m:sSup>
                      <m:sSupPr>
                        <m:ctrlPr>
                          <w:rPr>
                            <w:rFonts w:ascii="Cambria Math" w:hAnsi="Cambria Math" w:eastAsia="微软雅黑" w:cs="Calibri"/>
                            <w:i/>
                            <w:color w:val="000000"/>
                            <w:kern w:val="2"/>
                            <w:sz w:val="18"/>
                            <w:szCs w:val="18"/>
                          </w:rPr>
                        </m:ctrlPr>
                      </m:sSupPr>
                      <m:e>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e>
                      <m:sup>
                        <m:r>
                          <m:rPr/>
                          <w:rPr>
                            <w:rFonts w:ascii="Cambria Math" w:hAnsi="Cambria Math" w:eastAsia="微软雅黑" w:cs="Calibri"/>
                            <w:color w:val="000000"/>
                            <w:kern w:val="2"/>
                            <w:sz w:val="18"/>
                            <w:szCs w:val="18"/>
                          </w:rPr>
                          <m:t>2</m:t>
                        </m:r>
                        <m:ctrlPr>
                          <w:rPr>
                            <w:rFonts w:ascii="Cambria Math" w:hAnsi="Cambria Math" w:eastAsia="微软雅黑" w:cs="Calibri"/>
                            <w:i/>
                            <w:color w:val="000000"/>
                            <w:kern w:val="2"/>
                            <w:sz w:val="18"/>
                            <w:szCs w:val="18"/>
                          </w:rPr>
                        </m:ctrlPr>
                      </m:sup>
                    </m:sSup>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R</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sub>
                </m:sSub>
              </m:oMath>
            </m:oMathPara>
          </w:p>
        </w:tc>
      </w:tr>
      <w:tr w14:paraId="7FC030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120BD76B">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6F1F74D2">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7CF5E801">
            <w:pPr>
              <w:widowControl w:val="0"/>
              <w:spacing w:line="480" w:lineRule="auto"/>
              <w:rPr>
                <w:rFonts w:ascii="微软雅黑" w:hAnsi="微软雅黑" w:eastAsia="微软雅黑" w:cs="Calibri"/>
                <w:color w:val="000000"/>
                <w:kern w:val="2"/>
                <w:sz w:val="18"/>
                <w:szCs w:val="18"/>
              </w:rPr>
            </w:pPr>
            <m:oMathPara>
              <m:oMathParaPr>
                <m:jc m:val="left"/>
              </m:oMathParaPr>
              <m:oMath>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Pr</m:t>
                    </m:r>
                    <m:ctrlPr>
                      <w:rPr>
                        <w:rFonts w:ascii="Cambria Math" w:hAnsi="Cambria Math" w:eastAsia="微软雅黑" w:cs="Calibri"/>
                        <w:color w:val="000000"/>
                        <w:kern w:val="2"/>
                        <w:sz w:val="18"/>
                        <w:szCs w:val="18"/>
                      </w:rPr>
                    </m:ctrlPr>
                  </m:den>
                </m:f>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num>
                  <m:den>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σ</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den>
                </m:f>
              </m:oMath>
            </m:oMathPara>
          </w:p>
        </w:tc>
        <w:tc>
          <w:tcPr>
            <w:tcW w:w="5103" w:type="dxa"/>
            <w:tcBorders>
              <w:top w:val="single" w:color="auto" w:sz="6" w:space="0"/>
              <w:left w:val="single" w:color="auto" w:sz="6" w:space="0"/>
              <w:bottom w:val="single" w:color="auto" w:sz="4" w:space="0"/>
              <w:right w:val="single" w:color="auto" w:sz="4" w:space="0"/>
            </w:tcBorders>
            <w:vAlign w:val="center"/>
          </w:tcPr>
          <w:p w14:paraId="5D16FFE2">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S</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r>
    </w:tbl>
    <w:p w14:paraId="4D2DD0C6">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3"/>
        <w:gridCol w:w="2050"/>
        <w:gridCol w:w="2038"/>
        <w:gridCol w:w="2041"/>
      </w:tblGrid>
      <w:tr w14:paraId="23DBA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10" w:type="dxa"/>
            <w:vAlign w:val="center"/>
          </w:tcPr>
          <w:p w14:paraId="7A410E9D">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1983" w:type="dxa"/>
            <w:vAlign w:val="center"/>
          </w:tcPr>
          <w:p w14:paraId="1AEB25AA">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60" w:type="dxa"/>
            <w:vAlign w:val="center"/>
          </w:tcPr>
          <w:p w14:paraId="1ADC15FC">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69" w:type="dxa"/>
            <w:vAlign w:val="center"/>
          </w:tcPr>
          <w:p w14:paraId="2E08E2E4">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51064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2423B3ED">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130" w:type="dxa"/>
            <w:vAlign w:val="center"/>
          </w:tcPr>
          <w:p w14:paraId="50A50E69">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2131" w:type="dxa"/>
            <w:vAlign w:val="center"/>
          </w:tcPr>
          <w:p w14:paraId="4E3E3083">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131" w:type="dxa"/>
            <w:vAlign w:val="center"/>
          </w:tcPr>
          <w:p w14:paraId="14CA1EC9">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02D5A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35B7C28E">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130" w:type="dxa"/>
            <w:vAlign w:val="center"/>
          </w:tcPr>
          <w:p w14:paraId="5196D6EC">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2131" w:type="dxa"/>
            <w:vAlign w:val="center"/>
          </w:tcPr>
          <w:p w14:paraId="29FF5A85">
            <w:pPr>
              <w:pStyle w:val="3"/>
              <w:spacing w:line="240" w:lineRule="atLeast"/>
              <w:ind w:firstLine="0" w:firstLineChars="0"/>
              <w:jc w:val="left"/>
              <w:rPr>
                <w:rFonts w:ascii="微软雅黑" w:hAnsi="微软雅黑" w:eastAsia="微软雅黑"/>
                <w:sz w:val="18"/>
                <w:szCs w:val="18"/>
                <w:lang w:val="en-US"/>
              </w:rPr>
            </w:pPr>
          </w:p>
        </w:tc>
        <w:tc>
          <w:tcPr>
            <w:tcW w:w="2131" w:type="dxa"/>
            <w:vAlign w:val="center"/>
          </w:tcPr>
          <w:p w14:paraId="4D9D58E4">
            <w:pPr>
              <w:pStyle w:val="3"/>
              <w:spacing w:line="240" w:lineRule="atLeast"/>
              <w:ind w:firstLine="0" w:firstLineChars="0"/>
              <w:jc w:val="left"/>
              <w:rPr>
                <w:rFonts w:ascii="微软雅黑" w:hAnsi="微软雅黑" w:eastAsia="微软雅黑"/>
                <w:sz w:val="18"/>
                <w:szCs w:val="18"/>
                <w:lang w:val="en-US"/>
              </w:rPr>
            </w:pPr>
          </w:p>
        </w:tc>
      </w:tr>
      <w:tr w14:paraId="2FE2E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33418424">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α−1.3929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−1.3929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0.6321</m:t>
                  </m:r>
                  <m:ctrlPr>
                    <w:rPr>
                      <w:rFonts w:ascii="Cambria Math" w:hAnsi="Cambria Math" w:eastAsia="微软雅黑"/>
                      <w:sz w:val="18"/>
                      <w:szCs w:val="18"/>
                      <w:lang w:val="en-US"/>
                    </w:rPr>
                  </m:ctrlPr>
                </m:sup>
              </m:sSup>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α+2.3929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+2.3929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0.3679</m:t>
                  </m:r>
                  <m:ctrlPr>
                    <w:rPr>
                      <w:rFonts w:ascii="Cambria Math" w:hAnsi="Cambria Math" w:eastAsia="微软雅黑"/>
                      <w:sz w:val="18"/>
                      <w:szCs w:val="18"/>
                      <w:lang w:val="en-US"/>
                    </w:rPr>
                  </m:ctrlPr>
                </m:sup>
              </m:sSup>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μ</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2BE0F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5B27AE39">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5D364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6314EFAB">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R</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i/>
                          <w:sz w:val="18"/>
                          <w:szCs w:val="18"/>
                          <w:lang w:val="en-US"/>
                        </w:rPr>
                      </m:ctrlPr>
                    </m:e>
                    <m:sub>
                      <m:r>
                        <m:rPr/>
                        <w:rPr>
                          <w:rFonts w:ascii="Cambria Math" w:hAnsi="Cambria Math" w:eastAsia="微软雅黑"/>
                          <w:sz w:val="18"/>
                          <w:szCs w:val="18"/>
                          <w:lang w:val="en-US"/>
                        </w:rPr>
                        <m:t>μ</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ρ</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(1−</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η</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ctrlPr>
                    <w:rPr>
                      <w:rFonts w:ascii="Cambria Math" w:hAnsi="Cambria Math" w:eastAsia="微软雅黑"/>
                      <w:sz w:val="18"/>
                      <w:szCs w:val="18"/>
                      <w:lang w:val="en-US"/>
                    </w:rPr>
                  </m:ctrlPr>
                </m:num>
                <m:den>
                  <m:r>
                    <m:rPr/>
                    <w:rPr>
                      <w:rFonts w:ascii="Cambria Math" w:hAnsi="Cambria Math" w:eastAsia="微软雅黑"/>
                      <w:sz w:val="18"/>
                      <w:szCs w:val="18"/>
                      <w:lang w:val="en-US"/>
                    </w:rPr>
                    <m:t>(1+β</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ε</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hint="eastAsia" w:ascii="Cambria Math" w:hAnsi="Cambria Math" w:eastAsia="微软雅黑"/>
                      <w:sz w:val="18"/>
                      <w:szCs w:val="18"/>
                      <w:lang w:val="en-US"/>
                    </w:rPr>
                    <m:t>k</m:t>
                  </m:r>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18"/>
                  <w:szCs w:val="18"/>
                  <w:lang w:val="en-US"/>
                </w:rPr>
                <m:t>η=</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S</m:t>
                  </m:r>
                  <m:r>
                    <m:rPr/>
                    <w:rPr>
                      <w:rFonts w:hint="eastAsia" w:ascii="Cambria Math" w:hAnsi="Cambria Math" w:eastAsia="微软雅黑"/>
                      <w:sz w:val="18"/>
                      <w:szCs w:val="18"/>
                      <w:lang w:val="en-US"/>
                    </w:rPr>
                    <m:t>k</m:t>
                  </m:r>
                  <m:ctrlPr>
                    <w:rPr>
                      <w:rFonts w:ascii="Cambria Math" w:hAnsi="Cambria Math" w:eastAsia="微软雅黑"/>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sz w:val="18"/>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123A0E4C">
      <w:pPr>
        <w:pStyle w:val="3"/>
        <w:ind w:firstLine="525" w:firstLineChars="250"/>
        <w:rPr>
          <w:rFonts w:ascii="微软雅黑" w:hAnsi="微软雅黑" w:eastAsia="微软雅黑"/>
          <w:lang w:val="en-US"/>
        </w:rPr>
      </w:pPr>
    </w:p>
    <w:p w14:paraId="1E5CB343">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14:paraId="0F4DA363">
      <w:pPr>
        <w:pStyle w:val="3"/>
        <w:ind w:firstLine="42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本项目采用二阶迎风格式对方程进行离散，二阶迎风格式的准确性可满足一般流体模拟计算的要求。</w:t>
      </w:r>
    </w:p>
    <w:p w14:paraId="62DF5B31">
      <w:pPr>
        <w:pStyle w:val="2"/>
        <w:rPr>
          <w:rFonts w:ascii="微软雅黑" w:hAnsi="微软雅黑" w:eastAsia="微软雅黑"/>
        </w:rPr>
      </w:pPr>
      <w:bookmarkStart w:id="72" w:name="_Toc58243677"/>
      <w:bookmarkStart w:id="73" w:name="_Toc452108768"/>
      <w:bookmarkStart w:id="74" w:name="_Toc50050022"/>
      <w:bookmarkStart w:id="75" w:name="_Toc3745"/>
      <w:bookmarkStart w:id="76" w:name="_Toc14401"/>
      <w:r>
        <w:rPr>
          <w:rFonts w:hint="eastAsia" w:ascii="微软雅黑" w:hAnsi="微软雅黑" w:eastAsia="微软雅黑"/>
        </w:rPr>
        <w:t>结果</w:t>
      </w:r>
      <w:r>
        <w:rPr>
          <w:rFonts w:ascii="微软雅黑" w:hAnsi="微软雅黑" w:eastAsia="微软雅黑"/>
        </w:rPr>
        <w:t>分析</w:t>
      </w:r>
      <w:bookmarkEnd w:id="72"/>
      <w:bookmarkEnd w:id="73"/>
      <w:bookmarkEnd w:id="74"/>
      <w:bookmarkEnd w:id="75"/>
      <w:bookmarkEnd w:id="76"/>
    </w:p>
    <w:p w14:paraId="180171B1">
      <w:pPr>
        <w:pStyle w:val="4"/>
        <w:rPr>
          <w:rFonts w:ascii="微软雅黑" w:hAnsi="微软雅黑" w:eastAsia="微软雅黑"/>
        </w:rPr>
      </w:pPr>
      <w:bookmarkStart w:id="77" w:name="_Toc50050023"/>
      <w:bookmarkStart w:id="78" w:name="_Toc58243678"/>
      <w:bookmarkStart w:id="79" w:name="_Toc18317"/>
      <w:r>
        <w:rPr>
          <w:rFonts w:hint="eastAsia" w:ascii="微软雅黑" w:hAnsi="微软雅黑" w:eastAsia="微软雅黑"/>
        </w:rPr>
        <w:t>室内速度场分布</w:t>
      </w:r>
      <w:bookmarkEnd w:id="77"/>
      <w:bookmarkEnd w:id="78"/>
      <w:bookmarkEnd w:id="79"/>
    </w:p>
    <w:p w14:paraId="3C2117C4">
      <w:pPr>
        <w:pStyle w:val="3"/>
        <w:ind w:firstLine="0" w:firstLineChars="0"/>
        <w:jc w:val="center"/>
        <w:rPr>
          <w:rFonts w:ascii="微软雅黑" w:hAnsi="微软雅黑" w:eastAsia="微软雅黑"/>
          <w:lang w:val="en-US"/>
        </w:rPr>
      </w:pPr>
      <w:bookmarkStart w:id="80" w:name="速度云图"/>
      <w:r>
        <w:drawing>
          <wp:inline distT="0" distB="0" distL="0" distR="0">
            <wp:extent cx="5667375" cy="375285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4"/>
                    <a:stretch>
                      <a:fillRect/>
                    </a:stretch>
                  </pic:blipFill>
                  <pic:spPr>
                    <a:xfrm>
                      <a:off x="0" y="0"/>
                      <a:ext cx="5667375" cy="3752850"/>
                    </a:xfrm>
                    <a:prstGeom prst="rect">
                      <a:avLst/>
                    </a:prstGeom>
                  </pic:spPr>
                </pic:pic>
              </a:graphicData>
            </a:graphic>
          </wp:inline>
        </w:drawing>
      </w:r>
    </w:p>
    <w:bookmarkEnd w:id="80"/>
    <w:p w14:paraId="07A5AAB0">
      <w:pPr>
        <w:pStyle w:val="32"/>
        <w:ind w:firstLine="360"/>
        <w:jc w:val="center"/>
        <w:rPr>
          <w:rFonts w:ascii="微软雅黑" w:hAnsi="微软雅黑" w:eastAsia="微软雅黑"/>
          <w:color w:val="auto"/>
          <w:sz w:val="18"/>
          <w:szCs w:val="18"/>
        </w:rPr>
      </w:pPr>
      <w:bookmarkStart w:id="81" w:name="_Toc50050024"/>
      <w:bookmarkStart w:id="82" w:name="_Toc58243679"/>
      <w:r>
        <w:rPr>
          <w:rFonts w:ascii="微软雅黑" w:hAnsi="微软雅黑" w:eastAsia="微软雅黑"/>
          <w:color w:val="auto"/>
          <w:sz w:val="18"/>
          <w:szCs w:val="18"/>
        </w:rPr>
        <w:t>图6-1 室内速度分布</w:t>
      </w:r>
    </w:p>
    <w:p w14:paraId="745C4A10">
      <w:pPr>
        <w:pStyle w:val="4"/>
        <w:rPr>
          <w:rFonts w:ascii="微软雅黑" w:hAnsi="微软雅黑" w:eastAsia="微软雅黑"/>
        </w:rPr>
      </w:pPr>
      <w:bookmarkStart w:id="83" w:name="_Toc17439"/>
      <w:r>
        <w:rPr>
          <w:rFonts w:hint="eastAsia" w:ascii="微软雅黑" w:hAnsi="微软雅黑" w:eastAsia="微软雅黑"/>
        </w:rPr>
        <w:t>室内风速矢量图</w:t>
      </w:r>
      <w:bookmarkEnd w:id="81"/>
      <w:bookmarkEnd w:id="82"/>
      <w:bookmarkEnd w:id="83"/>
    </w:p>
    <w:p w14:paraId="788B1722">
      <w:pPr>
        <w:pStyle w:val="3"/>
        <w:ind w:firstLine="0" w:firstLineChars="0"/>
        <w:jc w:val="center"/>
        <w:rPr>
          <w:rFonts w:ascii="微软雅黑" w:hAnsi="微软雅黑" w:eastAsia="微软雅黑"/>
          <w:lang w:val="en-US"/>
        </w:rPr>
      </w:pPr>
      <w:bookmarkStart w:id="84" w:name="速度矢量图"/>
      <w:r>
        <w:drawing>
          <wp:inline distT="0" distB="0" distL="0" distR="0">
            <wp:extent cx="5667375" cy="375285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5"/>
                    <a:stretch>
                      <a:fillRect/>
                    </a:stretch>
                  </pic:blipFill>
                  <pic:spPr>
                    <a:xfrm>
                      <a:off x="0" y="0"/>
                      <a:ext cx="5667375" cy="3752850"/>
                    </a:xfrm>
                    <a:prstGeom prst="rect">
                      <a:avLst/>
                    </a:prstGeom>
                  </pic:spPr>
                </pic:pic>
              </a:graphicData>
            </a:graphic>
          </wp:inline>
        </w:drawing>
      </w:r>
    </w:p>
    <w:bookmarkEnd w:id="84"/>
    <w:p w14:paraId="7C9C9275">
      <w:pPr>
        <w:pStyle w:val="32"/>
        <w:ind w:firstLine="360"/>
        <w:jc w:val="center"/>
        <w:rPr>
          <w:rFonts w:ascii="微软雅黑" w:hAnsi="微软雅黑" w:eastAsia="微软雅黑"/>
          <w:color w:val="auto"/>
          <w:sz w:val="18"/>
          <w:szCs w:val="18"/>
        </w:rPr>
      </w:pPr>
      <w:bookmarkStart w:id="85" w:name="_Toc50050025"/>
      <w:bookmarkStart w:id="86" w:name="_Toc58243680"/>
      <w:r>
        <w:rPr>
          <w:rFonts w:ascii="微软雅黑" w:hAnsi="微软雅黑" w:eastAsia="微软雅黑"/>
          <w:color w:val="auto"/>
          <w:sz w:val="18"/>
          <w:szCs w:val="18"/>
        </w:rPr>
        <w:t>图6-2 室内风速矢量图</w:t>
      </w:r>
    </w:p>
    <w:p w14:paraId="0B241565">
      <w:pPr>
        <w:pStyle w:val="4"/>
        <w:rPr>
          <w:rFonts w:ascii="微软雅黑" w:hAnsi="微软雅黑" w:eastAsia="微软雅黑"/>
        </w:rPr>
      </w:pPr>
      <w:bookmarkStart w:id="87" w:name="_Toc18038"/>
      <w:r>
        <w:rPr>
          <w:rFonts w:hint="eastAsia" w:ascii="微软雅黑" w:hAnsi="微软雅黑" w:eastAsia="微软雅黑"/>
        </w:rPr>
        <w:t>流线图</w:t>
      </w:r>
      <w:bookmarkEnd w:id="87"/>
    </w:p>
    <w:p w14:paraId="0AE85383">
      <w:pPr>
        <w:pStyle w:val="3"/>
        <w:ind w:firstLine="420"/>
        <w:jc w:val="center"/>
        <w:rPr>
          <w:rFonts w:ascii="微软雅黑" w:hAnsi="微软雅黑" w:eastAsia="微软雅黑"/>
          <w:lang w:val="en-US"/>
        </w:rPr>
      </w:pPr>
      <w:bookmarkStart w:id="88" w:name="流线图"/>
      <w:bookmarkEnd w:id="88"/>
      <w:r>
        <w:drawing>
          <wp:inline distT="0" distB="0" distL="0" distR="0">
            <wp:extent cx="5667375" cy="375285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6"/>
                    <a:stretch>
                      <a:fillRect/>
                    </a:stretch>
                  </pic:blipFill>
                  <pic:spPr>
                    <a:xfrm>
                      <a:off x="0" y="0"/>
                      <a:ext cx="5667375" cy="3752850"/>
                    </a:xfrm>
                    <a:prstGeom prst="rect">
                      <a:avLst/>
                    </a:prstGeom>
                  </pic:spPr>
                </pic:pic>
              </a:graphicData>
            </a:graphic>
          </wp:inline>
        </w:drawing>
      </w:r>
    </w:p>
    <w:p w14:paraId="1CA0DB23">
      <w:pPr>
        <w:pStyle w:val="3"/>
        <w:ind w:firstLine="360"/>
        <w:jc w:val="center"/>
        <w:rPr>
          <w:rFonts w:ascii="微软雅黑" w:hAnsi="微软雅黑" w:eastAsia="微软雅黑"/>
          <w:sz w:val="18"/>
          <w:szCs w:val="18"/>
          <w:lang w:val="en-US"/>
        </w:rPr>
      </w:pPr>
      <w:r>
        <w:rPr>
          <w:rFonts w:ascii="微软雅黑" w:hAnsi="微软雅黑" w:eastAsia="微软雅黑"/>
          <w:sz w:val="18"/>
          <w:szCs w:val="18"/>
          <w:lang w:val="en-US"/>
        </w:rPr>
        <w:t>图6-3 室内流线图</w:t>
      </w:r>
    </w:p>
    <w:p w14:paraId="385770D4">
      <w:pPr>
        <w:pStyle w:val="2"/>
        <w:rPr>
          <w:rFonts w:ascii="微软雅黑" w:hAnsi="微软雅黑" w:eastAsia="微软雅黑"/>
        </w:rPr>
      </w:pPr>
      <w:bookmarkStart w:id="89" w:name="_Toc12545"/>
      <w:r>
        <w:rPr>
          <w:rFonts w:hint="eastAsia" w:ascii="微软雅黑" w:hAnsi="微软雅黑" w:eastAsia="微软雅黑"/>
        </w:rPr>
        <w:t>结论</w:t>
      </w:r>
      <w:bookmarkEnd w:id="85"/>
      <w:bookmarkEnd w:id="86"/>
      <w:bookmarkEnd w:id="89"/>
    </w:p>
    <w:p w14:paraId="6C85B9EC">
      <w:pPr>
        <w:pStyle w:val="3"/>
        <w:ind w:firstLine="420"/>
        <w:rPr>
          <w:rFonts w:ascii="微软雅黑" w:hAnsi="微软雅黑" w:eastAsia="微软雅黑"/>
          <w:lang w:val="en-US"/>
        </w:rPr>
      </w:pPr>
      <w:r>
        <w:rPr>
          <w:rFonts w:hint="eastAsia" w:ascii="微软雅黑" w:hAnsi="微软雅黑" w:eastAsia="微软雅黑"/>
          <w:lang w:val="en-US"/>
        </w:rPr>
        <w:t>该建筑参评房间所用技术措施合理，且通过CFD对室内进行气流组织分析，确认气流组织合理，满足绿标5.</w:t>
      </w:r>
      <w:r>
        <w:rPr>
          <w:rFonts w:ascii="微软雅黑" w:hAnsi="微软雅黑" w:eastAsia="微软雅黑"/>
          <w:lang w:val="en-US"/>
        </w:rPr>
        <w:t>1</w:t>
      </w:r>
      <w:r>
        <w:rPr>
          <w:rFonts w:hint="eastAsia" w:ascii="微软雅黑" w:hAnsi="微软雅黑" w:eastAsia="微软雅黑"/>
          <w:lang w:val="en-US"/>
        </w:rPr>
        <w:t>.</w:t>
      </w:r>
      <w:r>
        <w:rPr>
          <w:rFonts w:ascii="微软雅黑" w:hAnsi="微软雅黑" w:eastAsia="微软雅黑"/>
          <w:lang w:val="en-US"/>
        </w:rPr>
        <w:t>2</w:t>
      </w:r>
      <w:r>
        <w:rPr>
          <w:rFonts w:hint="eastAsia" w:ascii="微软雅黑" w:hAnsi="微软雅黑" w:eastAsia="微软雅黑"/>
          <w:lang w:val="en-US"/>
        </w:rPr>
        <w:t>的要求。</w:t>
      </w:r>
    </w:p>
    <w:bookmarkEnd w:id="44"/>
    <w:bookmarkEnd w:id="58"/>
    <w:bookmarkEnd w:id="59"/>
    <w:p w14:paraId="58317A1B">
      <w:pPr>
        <w:spacing w:line="240" w:lineRule="auto"/>
        <w:rPr>
          <w:rFonts w:ascii="微软雅黑" w:hAnsi="微软雅黑" w:eastAsia="微软雅黑"/>
          <w:sz w:val="24"/>
          <w:szCs w:val="24"/>
          <w:lang w:val="en-US"/>
        </w:rPr>
      </w:pPr>
    </w:p>
    <w:sectPr>
      <w:headerReference r:id="rId8" w:type="default"/>
      <w:footerReference r:id="rId9" w:type="default"/>
      <w:pgSz w:w="11906" w:h="16838"/>
      <w:pgMar w:top="1440" w:right="1800" w:bottom="1440" w:left="1800" w:header="850"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3DC35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2AC2C416">
          <w:pPr>
            <w:pStyle w:val="19"/>
            <w:rPr>
              <w:sz w:val="20"/>
              <w:szCs w:val="21"/>
            </w:rPr>
          </w:pPr>
        </w:p>
      </w:tc>
      <w:tc>
        <w:tcPr>
          <w:tcW w:w="2841" w:type="dxa"/>
        </w:tcPr>
        <w:p w14:paraId="5B9145A9">
          <w:pPr>
            <w:pStyle w:val="19"/>
            <w:jc w:val="center"/>
            <w:rPr>
              <w:sz w:val="20"/>
              <w:szCs w:val="21"/>
            </w:rPr>
          </w:pPr>
          <w:sdt>
            <w:sdtPr>
              <w:rPr>
                <w:sz w:val="20"/>
              </w:rPr>
              <w:id w:val="-1216345231"/>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sdtContent>
          </w:sdt>
        </w:p>
      </w:tc>
      <w:tc>
        <w:tcPr>
          <w:tcW w:w="2841" w:type="dxa"/>
        </w:tcPr>
        <w:p w14:paraId="34EF91E7">
          <w:pPr>
            <w:pStyle w:val="19"/>
            <w:jc w:val="right"/>
            <w:rPr>
              <w:sz w:val="20"/>
              <w:szCs w:val="21"/>
            </w:rPr>
          </w:pPr>
        </w:p>
      </w:tc>
    </w:tr>
  </w:tbl>
  <w:p w14:paraId="455A90C6">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50C88">
    <w:pPr>
      <w:pStyle w:val="19"/>
      <w:jc w:val="center"/>
      <w:rPr>
        <w:rFonts w:asciiTheme="minorEastAsia" w:hAnsiTheme="minorEastAsia" w:eastAsiaTheme="minorEastAsia"/>
        <w:szCs w:val="21"/>
      </w:rPr>
    </w:pPr>
  </w:p>
  <w:p w14:paraId="36AC143A">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2851"/>
      <w:gridCol w:w="2836"/>
    </w:tblGrid>
    <w:tr w14:paraId="43611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Pr>
        <w:p w14:paraId="2C5216BF">
          <w:pPr>
            <w:pStyle w:val="19"/>
            <w:rPr>
              <w:rFonts w:ascii="微软雅黑" w:hAnsi="微软雅黑" w:eastAsia="微软雅黑"/>
              <w:sz w:val="20"/>
              <w:szCs w:val="21"/>
            </w:rPr>
          </w:pPr>
        </w:p>
      </w:tc>
      <w:tc>
        <w:tcPr>
          <w:tcW w:w="3060" w:type="dxa"/>
        </w:tcPr>
        <w:p w14:paraId="388B85C4">
          <w:pPr>
            <w:pStyle w:val="19"/>
            <w:jc w:val="center"/>
            <w:rPr>
              <w:rFonts w:ascii="微软雅黑" w:hAnsi="微软雅黑" w:eastAsia="微软雅黑"/>
              <w:sz w:val="20"/>
              <w:szCs w:val="21"/>
            </w:rPr>
          </w:pPr>
          <w:sdt>
            <w:sdtPr>
              <w:rPr>
                <w:rFonts w:ascii="微软雅黑" w:hAnsi="微软雅黑" w:eastAsia="微软雅黑"/>
                <w:sz w:val="20"/>
              </w:rPr>
              <w:id w:val="-1692218073"/>
              <w:docPartObj>
                <w:docPartGallery w:val="autotext"/>
              </w:docPartObj>
            </w:sdtPr>
            <w:sdtEndPr>
              <w:rPr>
                <w:rFonts w:ascii="微软雅黑" w:hAnsi="微软雅黑" w:eastAsia="微软雅黑"/>
                <w:sz w:val="20"/>
                <w:szCs w:val="21"/>
              </w:rPr>
            </w:sdtEndPr>
            <w:sdtContent>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sdtContent>
          </w:sdt>
        </w:p>
      </w:tc>
      <w:tc>
        <w:tcPr>
          <w:tcW w:w="3060" w:type="dxa"/>
        </w:tcPr>
        <w:p w14:paraId="30913F6E">
          <w:pPr>
            <w:pStyle w:val="19"/>
            <w:jc w:val="right"/>
            <w:rPr>
              <w:rFonts w:ascii="微软雅黑" w:hAnsi="微软雅黑" w:eastAsia="微软雅黑"/>
              <w:sz w:val="20"/>
              <w:szCs w:val="21"/>
            </w:rPr>
          </w:pPr>
        </w:p>
      </w:tc>
    </w:tr>
  </w:tbl>
  <w:p w14:paraId="0E0B6C57">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91715">
    <w:pPr>
      <w:pStyle w:val="20"/>
      <w:pBdr>
        <w:bottom w:val="single" w:color="auto" w:sz="6" w:space="0"/>
      </w:pBdr>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8D1AC">
    <w:pPr>
      <w:pStyle w:val="20"/>
      <w:pBdr>
        <w:bottom w:val="single" w:color="auto" w:sz="6" w:space="0"/>
      </w:pBdr>
      <w:jc w:val="left"/>
      <w:rPr>
        <w:rFonts w:ascii="微软雅黑" w:hAnsi="微软雅黑" w:eastAsia="微软雅黑"/>
      </w:rPr>
    </w:pPr>
    <w:r>
      <w:rPr>
        <w:rFonts w:ascii="微软雅黑" w:hAnsi="微软雅黑" w:eastAsia="微软雅黑"/>
        <w:lang w:val="en-US"/>
      </w:rPr>
      <w:drawing>
        <wp:inline distT="0" distB="0" distL="0" distR="0">
          <wp:extent cx="866140" cy="25146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ascii="微软雅黑" w:hAnsi="微软雅黑" w:eastAsia="微软雅黑"/>
      </w:rPr>
      <w:ptab w:relativeTo="margin" w:alignment="center" w:leader="none"/>
    </w:r>
    <w:r>
      <w:rPr>
        <w:rFonts w:ascii="微软雅黑" w:hAnsi="微软雅黑" w:eastAsia="微软雅黑"/>
      </w:rPr>
      <w:ptab w:relativeTo="margin" w:alignment="right" w:leader="none"/>
    </w:r>
    <w:r>
      <w:rPr>
        <w:rFonts w:hint="eastAsia" w:ascii="微软雅黑" w:hAnsi="微软雅黑" w:eastAsia="微软雅黑"/>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073FA"/>
    <w:rsid w:val="00000112"/>
    <w:rsid w:val="00005045"/>
    <w:rsid w:val="0000578F"/>
    <w:rsid w:val="0002001E"/>
    <w:rsid w:val="000219DF"/>
    <w:rsid w:val="00026604"/>
    <w:rsid w:val="00037A4C"/>
    <w:rsid w:val="00056BE6"/>
    <w:rsid w:val="000678A8"/>
    <w:rsid w:val="00067D42"/>
    <w:rsid w:val="00067FD6"/>
    <w:rsid w:val="00070047"/>
    <w:rsid w:val="000730D5"/>
    <w:rsid w:val="00073958"/>
    <w:rsid w:val="00081A16"/>
    <w:rsid w:val="00083128"/>
    <w:rsid w:val="000A26D4"/>
    <w:rsid w:val="000C1855"/>
    <w:rsid w:val="000C291D"/>
    <w:rsid w:val="000C3B77"/>
    <w:rsid w:val="000D16B8"/>
    <w:rsid w:val="000D7A8A"/>
    <w:rsid w:val="000E3A71"/>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4C56"/>
    <w:rsid w:val="001A7C37"/>
    <w:rsid w:val="001B287E"/>
    <w:rsid w:val="001B7C87"/>
    <w:rsid w:val="001C1C39"/>
    <w:rsid w:val="001D3071"/>
    <w:rsid w:val="001D3BB9"/>
    <w:rsid w:val="001E133A"/>
    <w:rsid w:val="00201812"/>
    <w:rsid w:val="00203163"/>
    <w:rsid w:val="00203A7D"/>
    <w:rsid w:val="00215EBC"/>
    <w:rsid w:val="00217F09"/>
    <w:rsid w:val="0022597C"/>
    <w:rsid w:val="00241F9D"/>
    <w:rsid w:val="002431AE"/>
    <w:rsid w:val="002527B0"/>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D1F"/>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2BE1"/>
    <w:rsid w:val="00423970"/>
    <w:rsid w:val="00435221"/>
    <w:rsid w:val="00437A5C"/>
    <w:rsid w:val="00446531"/>
    <w:rsid w:val="00453246"/>
    <w:rsid w:val="004556B5"/>
    <w:rsid w:val="00455947"/>
    <w:rsid w:val="00457480"/>
    <w:rsid w:val="0046589C"/>
    <w:rsid w:val="0047200C"/>
    <w:rsid w:val="00481D85"/>
    <w:rsid w:val="00483193"/>
    <w:rsid w:val="00485FD3"/>
    <w:rsid w:val="00494ADE"/>
    <w:rsid w:val="0049520E"/>
    <w:rsid w:val="004A0D3B"/>
    <w:rsid w:val="004C7D33"/>
    <w:rsid w:val="004D230F"/>
    <w:rsid w:val="004D449D"/>
    <w:rsid w:val="004D7AD4"/>
    <w:rsid w:val="004E2AEB"/>
    <w:rsid w:val="004E3593"/>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36CF"/>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353"/>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21CBA"/>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77255"/>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18AE"/>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65E"/>
    <w:rsid w:val="00BA2C3C"/>
    <w:rsid w:val="00BB5BCC"/>
    <w:rsid w:val="00BD0C1B"/>
    <w:rsid w:val="00BE0E75"/>
    <w:rsid w:val="00BE4681"/>
    <w:rsid w:val="00BE75B4"/>
    <w:rsid w:val="00BE7E24"/>
    <w:rsid w:val="00BF173E"/>
    <w:rsid w:val="00BF7629"/>
    <w:rsid w:val="00C02F71"/>
    <w:rsid w:val="00C03066"/>
    <w:rsid w:val="00C15B1A"/>
    <w:rsid w:val="00C268F3"/>
    <w:rsid w:val="00C3112C"/>
    <w:rsid w:val="00C34324"/>
    <w:rsid w:val="00C37EFB"/>
    <w:rsid w:val="00C508B4"/>
    <w:rsid w:val="00C50BDB"/>
    <w:rsid w:val="00C57197"/>
    <w:rsid w:val="00C6186A"/>
    <w:rsid w:val="00C63237"/>
    <w:rsid w:val="00C67778"/>
    <w:rsid w:val="00C72E58"/>
    <w:rsid w:val="00C82D6D"/>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033E"/>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70FD0"/>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0CF32E19"/>
    <w:rsid w:val="190073FA"/>
    <w:rsid w:val="44770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9"/>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9"/>
    <w:qFormat/>
    <w:uiPriority w:val="0"/>
    <w:pPr>
      <w:keepNext/>
      <w:numPr>
        <w:ilvl w:val="3"/>
        <w:numId w:val="1"/>
      </w:numPr>
      <w:spacing w:before="240" w:after="60"/>
      <w:outlineLvl w:val="3"/>
    </w:pPr>
    <w:rPr>
      <w:b/>
      <w:bCs/>
      <w:szCs w:val="28"/>
    </w:rPr>
  </w:style>
  <w:style w:type="paragraph" w:styleId="7">
    <w:name w:val="heading 5"/>
    <w:basedOn w:val="1"/>
    <w:next w:val="1"/>
    <w:link w:val="40"/>
    <w:qFormat/>
    <w:uiPriority w:val="0"/>
    <w:pPr>
      <w:numPr>
        <w:ilvl w:val="4"/>
        <w:numId w:val="1"/>
      </w:numPr>
      <w:spacing w:before="240" w:after="60"/>
      <w:outlineLvl w:val="4"/>
    </w:pPr>
    <w:rPr>
      <w:b/>
      <w:bCs/>
      <w:iCs/>
      <w:szCs w:val="26"/>
    </w:rPr>
  </w:style>
  <w:style w:type="paragraph" w:styleId="8">
    <w:name w:val="heading 6"/>
    <w:basedOn w:val="1"/>
    <w:next w:val="1"/>
    <w:link w:val="41"/>
    <w:qFormat/>
    <w:uiPriority w:val="0"/>
    <w:pPr>
      <w:numPr>
        <w:ilvl w:val="5"/>
        <w:numId w:val="1"/>
      </w:numPr>
      <w:spacing w:before="240" w:after="60"/>
      <w:outlineLvl w:val="5"/>
    </w:pPr>
    <w:rPr>
      <w:b/>
      <w:bCs/>
      <w:szCs w:val="22"/>
    </w:rPr>
  </w:style>
  <w:style w:type="paragraph" w:styleId="9">
    <w:name w:val="heading 7"/>
    <w:basedOn w:val="1"/>
    <w:next w:val="1"/>
    <w:link w:val="42"/>
    <w:qFormat/>
    <w:uiPriority w:val="0"/>
    <w:pPr>
      <w:numPr>
        <w:ilvl w:val="6"/>
        <w:numId w:val="1"/>
      </w:numPr>
      <w:spacing w:before="240" w:after="60"/>
      <w:outlineLvl w:val="6"/>
    </w:pPr>
    <w:rPr>
      <w:sz w:val="24"/>
      <w:szCs w:val="24"/>
    </w:rPr>
  </w:style>
  <w:style w:type="paragraph" w:styleId="10">
    <w:name w:val="heading 8"/>
    <w:basedOn w:val="1"/>
    <w:next w:val="1"/>
    <w:link w:val="43"/>
    <w:qFormat/>
    <w:uiPriority w:val="0"/>
    <w:pPr>
      <w:numPr>
        <w:ilvl w:val="7"/>
        <w:numId w:val="1"/>
      </w:numPr>
      <w:spacing w:before="240" w:after="60"/>
      <w:outlineLvl w:val="7"/>
    </w:pPr>
    <w:rPr>
      <w:i/>
      <w:iCs/>
      <w:sz w:val="24"/>
      <w:szCs w:val="24"/>
    </w:rPr>
  </w:style>
  <w:style w:type="paragraph" w:styleId="11">
    <w:name w:val="heading 9"/>
    <w:basedOn w:val="1"/>
    <w:next w:val="1"/>
    <w:link w:val="44"/>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qFormat/>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3"/>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6"/>
    <w:semiHidden/>
    <w:qFormat/>
    <w:uiPriority w:val="0"/>
    <w:pPr>
      <w:shd w:val="clear" w:color="auto" w:fill="000080"/>
    </w:pPr>
  </w:style>
  <w:style w:type="paragraph" w:styleId="15">
    <w:name w:val="Body Text Indent"/>
    <w:basedOn w:val="1"/>
    <w:link w:val="47"/>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7"/>
    <w:next w:val="1"/>
    <w:autoRedefine/>
    <w:qFormat/>
    <w:uiPriority w:val="39"/>
    <w:pPr>
      <w:spacing w:line="600" w:lineRule="exact"/>
      <w:jc w:val="center"/>
    </w:pPr>
  </w:style>
  <w:style w:type="paragraph" w:customStyle="1" w:styleId="17">
    <w:name w:val="封面表格"/>
    <w:basedOn w:val="1"/>
    <w:link w:val="48"/>
    <w:qFormat/>
    <w:uiPriority w:val="0"/>
    <w:pPr>
      <w:spacing w:line="240" w:lineRule="auto"/>
    </w:pPr>
    <w:rPr>
      <w:rFonts w:ascii="微软雅黑" w:hAnsi="微软雅黑" w:eastAsia="微软雅黑" w:cs="微软雅黑"/>
      <w:sz w:val="24"/>
      <w:szCs w:val="24"/>
    </w:rPr>
  </w:style>
  <w:style w:type="paragraph" w:styleId="18">
    <w:name w:val="Balloon Text"/>
    <w:basedOn w:val="1"/>
    <w:link w:val="36"/>
    <w:uiPriority w:val="0"/>
    <w:pPr>
      <w:spacing w:line="240" w:lineRule="auto"/>
    </w:pPr>
    <w:rPr>
      <w:sz w:val="18"/>
      <w:szCs w:val="18"/>
    </w:rPr>
  </w:style>
  <w:style w:type="paragraph" w:styleId="19">
    <w:name w:val="footer"/>
    <w:basedOn w:val="1"/>
    <w:link w:val="31"/>
    <w:qFormat/>
    <w:uiPriority w:val="99"/>
    <w:pPr>
      <w:tabs>
        <w:tab w:val="center" w:pos="4153"/>
        <w:tab w:val="right" w:pos="8306"/>
      </w:tabs>
      <w:snapToGrid w:val="0"/>
    </w:pPr>
    <w:rPr>
      <w:szCs w:val="18"/>
    </w:rPr>
  </w:style>
  <w:style w:type="paragraph" w:styleId="20">
    <w:name w:val="header"/>
    <w:basedOn w:val="1"/>
    <w:link w:val="45"/>
    <w:qFormat/>
    <w:uiPriority w:val="0"/>
    <w:pPr>
      <w:pBdr>
        <w:bottom w:val="single" w:color="auto" w:sz="6" w:space="1"/>
      </w:pBdr>
      <w:tabs>
        <w:tab w:val="center" w:pos="4153"/>
        <w:tab w:val="right" w:pos="8306"/>
      </w:tabs>
      <w:snapToGrid w:val="0"/>
      <w:jc w:val="center"/>
    </w:pPr>
    <w:rPr>
      <w:szCs w:val="18"/>
    </w:rPr>
  </w:style>
  <w:style w:type="paragraph" w:styleId="21">
    <w:name w:val="toc 1"/>
    <w:basedOn w:val="1"/>
    <w:next w:val="1"/>
    <w:autoRedefine/>
    <w:qFormat/>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2">
    <w:name w:val="toc 2"/>
    <w:basedOn w:val="1"/>
    <w:next w:val="1"/>
    <w:autoRedefine/>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4"/>
      <w:lang w:val="en-US"/>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uiPriority w:val="99"/>
    <w:rPr>
      <w:color w:val="800080"/>
      <w:u w:val="single"/>
    </w:rPr>
  </w:style>
  <w:style w:type="character" w:styleId="27">
    <w:name w:val="Emphasis"/>
    <w:qFormat/>
    <w:uiPriority w:val="20"/>
    <w:rPr>
      <w:color w:val="CC0000"/>
    </w:rPr>
  </w:style>
  <w:style w:type="character" w:styleId="28">
    <w:name w:val="Hyperlink"/>
    <w:qFormat/>
    <w:uiPriority w:val="99"/>
    <w:rPr>
      <w:color w:val="0000FF"/>
      <w:u w:val="single"/>
    </w:rPr>
  </w:style>
  <w:style w:type="character" w:customStyle="1" w:styleId="29">
    <w:name w:val="标题 1 字符"/>
    <w:link w:val="2"/>
    <w:qFormat/>
    <w:uiPriority w:val="0"/>
    <w:rPr>
      <w:b/>
      <w:bCs/>
      <w:kern w:val="32"/>
      <w:sz w:val="28"/>
      <w:szCs w:val="28"/>
    </w:rPr>
  </w:style>
  <w:style w:type="character" w:customStyle="1" w:styleId="30">
    <w:name w:val="标题 2 字符"/>
    <w:link w:val="4"/>
    <w:qFormat/>
    <w:uiPriority w:val="0"/>
    <w:rPr>
      <w:rFonts w:ascii="宋体" w:cs="Arial"/>
      <w:b/>
      <w:bCs/>
      <w:iCs/>
      <w:color w:val="000000"/>
      <w:sz w:val="24"/>
      <w:szCs w:val="24"/>
    </w:rPr>
  </w:style>
  <w:style w:type="character" w:customStyle="1" w:styleId="31">
    <w:name w:val="页脚 字符"/>
    <w:link w:val="19"/>
    <w:qFormat/>
    <w:uiPriority w:val="99"/>
    <w:rPr>
      <w:sz w:val="21"/>
      <w:szCs w:val="18"/>
      <w:lang w:val="en-GB"/>
    </w:rPr>
  </w:style>
  <w:style w:type="paragraph" w:customStyle="1" w:styleId="32">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3">
    <w:name w:val="正文缩进 字符"/>
    <w:link w:val="12"/>
    <w:qFormat/>
    <w:uiPriority w:val="0"/>
    <w:rPr>
      <w:rFonts w:ascii="宋体"/>
      <w:sz w:val="21"/>
    </w:rPr>
  </w:style>
  <w:style w:type="paragraph" w:styleId="34">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5">
    <w:name w:val="标题 3 字符"/>
    <w:link w:val="5"/>
    <w:qFormat/>
    <w:uiPriority w:val="0"/>
    <w:rPr>
      <w:rFonts w:ascii="宋体" w:hAnsi="宋体" w:cs="Arial"/>
      <w:b/>
      <w:bCs/>
      <w:sz w:val="21"/>
      <w:szCs w:val="21"/>
    </w:rPr>
  </w:style>
  <w:style w:type="character" w:customStyle="1" w:styleId="36">
    <w:name w:val="批注框文本 字符"/>
    <w:link w:val="18"/>
    <w:qFormat/>
    <w:uiPriority w:val="0"/>
    <w:rPr>
      <w:sz w:val="18"/>
      <w:szCs w:val="18"/>
      <w:lang w:val="en-GB"/>
    </w:rPr>
  </w:style>
  <w:style w:type="character" w:styleId="37">
    <w:name w:val="Placeholder Text"/>
    <w:semiHidden/>
    <w:qFormat/>
    <w:uiPriority w:val="99"/>
    <w:rPr>
      <w:color w:val="808080"/>
    </w:rPr>
  </w:style>
  <w:style w:type="paragraph" w:styleId="38">
    <w:name w:val="No Spacing"/>
    <w:qFormat/>
    <w:uiPriority w:val="1"/>
    <w:rPr>
      <w:rFonts w:ascii="Times New Roman" w:hAnsi="Times New Roman" w:eastAsia="宋体" w:cs="Times New Roman"/>
      <w:sz w:val="21"/>
      <w:lang w:val="en-GB" w:eastAsia="zh-CN" w:bidi="ar-SA"/>
    </w:rPr>
  </w:style>
  <w:style w:type="character" w:customStyle="1" w:styleId="39">
    <w:name w:val="标题 4 字符"/>
    <w:link w:val="6"/>
    <w:uiPriority w:val="0"/>
    <w:rPr>
      <w:b/>
      <w:bCs/>
      <w:sz w:val="21"/>
      <w:szCs w:val="28"/>
      <w:lang w:val="en-GB"/>
    </w:rPr>
  </w:style>
  <w:style w:type="character" w:customStyle="1" w:styleId="40">
    <w:name w:val="标题 5 字符"/>
    <w:link w:val="7"/>
    <w:qFormat/>
    <w:uiPriority w:val="0"/>
    <w:rPr>
      <w:b/>
      <w:bCs/>
      <w:iCs/>
      <w:sz w:val="21"/>
      <w:szCs w:val="26"/>
      <w:lang w:val="en-GB"/>
    </w:rPr>
  </w:style>
  <w:style w:type="character" w:customStyle="1" w:styleId="41">
    <w:name w:val="标题 6 字符"/>
    <w:link w:val="8"/>
    <w:qFormat/>
    <w:uiPriority w:val="0"/>
    <w:rPr>
      <w:b/>
      <w:bCs/>
      <w:sz w:val="21"/>
      <w:szCs w:val="22"/>
      <w:lang w:val="en-GB"/>
    </w:rPr>
  </w:style>
  <w:style w:type="character" w:customStyle="1" w:styleId="42">
    <w:name w:val="标题 7 字符"/>
    <w:link w:val="9"/>
    <w:qFormat/>
    <w:uiPriority w:val="0"/>
    <w:rPr>
      <w:sz w:val="24"/>
      <w:szCs w:val="24"/>
      <w:lang w:val="en-GB"/>
    </w:rPr>
  </w:style>
  <w:style w:type="character" w:customStyle="1" w:styleId="43">
    <w:name w:val="标题 8 字符"/>
    <w:link w:val="10"/>
    <w:qFormat/>
    <w:uiPriority w:val="0"/>
    <w:rPr>
      <w:i/>
      <w:iCs/>
      <w:sz w:val="24"/>
      <w:szCs w:val="24"/>
      <w:lang w:val="en-GB"/>
    </w:rPr>
  </w:style>
  <w:style w:type="character" w:customStyle="1" w:styleId="44">
    <w:name w:val="标题 9 字符"/>
    <w:link w:val="11"/>
    <w:qFormat/>
    <w:uiPriority w:val="0"/>
    <w:rPr>
      <w:rFonts w:ascii="Arial" w:hAnsi="Arial" w:cs="Arial"/>
      <w:sz w:val="22"/>
      <w:szCs w:val="22"/>
      <w:lang w:val="en-GB"/>
    </w:rPr>
  </w:style>
  <w:style w:type="character" w:customStyle="1" w:styleId="45">
    <w:name w:val="页眉 字符"/>
    <w:link w:val="20"/>
    <w:qFormat/>
    <w:uiPriority w:val="0"/>
    <w:rPr>
      <w:sz w:val="21"/>
      <w:szCs w:val="18"/>
      <w:lang w:val="en-GB"/>
    </w:rPr>
  </w:style>
  <w:style w:type="character" w:customStyle="1" w:styleId="46">
    <w:name w:val="文档结构图 字符"/>
    <w:link w:val="14"/>
    <w:semiHidden/>
    <w:uiPriority w:val="0"/>
    <w:rPr>
      <w:sz w:val="21"/>
      <w:shd w:val="clear" w:color="auto" w:fill="000080"/>
      <w:lang w:val="en-GB"/>
    </w:rPr>
  </w:style>
  <w:style w:type="character" w:customStyle="1" w:styleId="47">
    <w:name w:val="正文文本缩进 字符"/>
    <w:basedOn w:val="25"/>
    <w:link w:val="15"/>
    <w:qFormat/>
    <w:uiPriority w:val="0"/>
    <w:rPr>
      <w:rFonts w:ascii="微软雅黑" w:hAnsi="微软雅黑" w:eastAsia="微软雅黑" w:cstheme="minorBidi"/>
      <w:kern w:val="2"/>
      <w:sz w:val="24"/>
      <w:szCs w:val="24"/>
    </w:rPr>
  </w:style>
  <w:style w:type="character" w:customStyle="1" w:styleId="48">
    <w:name w:val="封面表格 字符"/>
    <w:basedOn w:val="25"/>
    <w:link w:val="17"/>
    <w:qFormat/>
    <w:locked/>
    <w:uiPriority w:val="0"/>
    <w:rPr>
      <w:rFonts w:ascii="微软雅黑" w:hAnsi="微软雅黑" w:eastAsia="微软雅黑" w:cs="微软雅黑"/>
      <w:sz w:val="24"/>
      <w:szCs w:val="24"/>
      <w:lang w:val="en-GB"/>
    </w:rPr>
  </w:style>
  <w:style w:type="character" w:customStyle="1" w:styleId="49">
    <w:name w:val="封面页尾 字符"/>
    <w:basedOn w:val="25"/>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8"/>
    <w:link w:val="52"/>
    <w:qFormat/>
    <w:locked/>
    <w:uiPriority w:val="0"/>
    <w:rPr>
      <w:rFonts w:ascii="微软雅黑" w:hAnsi="微软雅黑" w:eastAsia="微软雅黑" w:cs="微软雅黑"/>
      <w:sz w:val="32"/>
      <w:szCs w:val="32"/>
      <w:lang w:val="en-GB"/>
    </w:rPr>
  </w:style>
  <w:style w:type="paragraph" w:customStyle="1" w:styleId="52">
    <w:name w:val="封面信息"/>
    <w:basedOn w:val="17"/>
    <w:link w:val="51"/>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ai\AppData\Local\Temp\tmp1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B58BA-B520-4094-87CA-FE1DFBAF486B}">
  <ds:schemaRefs/>
</ds:datastoreItem>
</file>

<file path=docProps/app.xml><?xml version="1.0" encoding="utf-8"?>
<Properties xmlns="http://schemas.openxmlformats.org/officeDocument/2006/extended-properties" xmlns:vt="http://schemas.openxmlformats.org/officeDocument/2006/docPropsVTypes">
  <Template>tmp16.dotx</Template>
  <Pages>10</Pages>
  <Words>1797</Words>
  <Characters>1968</Characters>
  <Lines>25</Lines>
  <Paragraphs>7</Paragraphs>
  <TotalTime>0</TotalTime>
  <ScaleCrop>false</ScaleCrop>
  <LinksUpToDate>false</LinksUpToDate>
  <CharactersWithSpaces>2022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2025-12-27T07:15:00Z</dcterms:created>
  <dc:creator>每到夜里我就很饿</dc:creator>
  <cp:lastModifiedBy>每到夜里我就很饿</cp:lastModifiedBy>
  <dcterms:modified xsi:type="dcterms:W3CDTF">2025-12-27T07:43:30Z</dcterms:modified>
  <dc:title>室内气流组织分析报告</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43FB105A35FA4C3AB85F7FCD5D4D6EF2_11</vt:lpwstr>
  </property>
  <property fmtid="{D5CDD505-2E9C-101B-9397-08002B2CF9AE}" pid="4" name="KSOTemplateDocerSaveRecord">
    <vt:lpwstr>eyJoZGlkIjoiZWY4NzI3Nzc0MzljYjMxYTBjN2NiZThmMTZkNDNlZTYiLCJ1c2VySWQiOiIxMzMyNTUyOTE0In0=</vt:lpwstr>
  </property>
</Properties>
</file>