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A3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default" w:ascii="Times New Roman" w:hAnsi="Times New Roman" w:cs="Times New Roman"/>
          <w:sz w:val="28"/>
          <w:szCs w:val="28"/>
        </w:rPr>
        <w:t>本项目所有卫生器具均选用用水效率等级达到1级的产品。坐便器采用双档冲洗水箱（3L/4.5L），符合《坐便器水效限定值及水效等级》GB 25502的1级要求；小便器采用感应式冲洗阀，一次冲水量不大于2.0L，符合《小便器水效限定值及水效等级》GB 28377的1级要求；水嘴采用充气式节能龙头，流量不大于0.1L/s，符合《水嘴水效限定值及水效等级》GB 25501的1级要求。所有产品均提供水效标识及检测报告，满足绿色建筑三星级评价标准要求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2026-03-25T11:15:59Z</dcterms:created>
  <dc:creator>10705</dc:creator>
  <cp:lastModifiedBy>王翔</cp:lastModifiedBy>
  <dcterms:modified xsi:type="dcterms:W3CDTF">2026-03-25T11:16:17Z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89E8DD36DC05418C949A92847B6C55B6_12</vt:lpwstr>
  </property>
</Properties>
</file>