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CD3C">
      <w:pPr>
        <w:ind w:firstLine="560" w:firstLineChars="200"/>
        <w:rPr>
          <w:rFonts w:hint="eastAsia"/>
        </w:rPr>
      </w:pPr>
      <w:r>
        <w:rPr>
          <w:rFonts w:hint="eastAsia"/>
          <w:sz w:val="28"/>
          <w:szCs w:val="28"/>
        </w:rPr>
        <w:t>本项目选用</w:t>
      </w:r>
      <w:r>
        <w:rPr>
          <w:rFonts w:hint="eastAsia"/>
          <w:sz w:val="28"/>
          <w:szCs w:val="28"/>
          <w:lang w:val="en-US" w:eastAsia="zh-CN"/>
        </w:rPr>
        <w:t>的部分</w:t>
      </w:r>
      <w:r>
        <w:rPr>
          <w:rFonts w:hint="eastAsia"/>
          <w:sz w:val="28"/>
          <w:szCs w:val="28"/>
        </w:rPr>
        <w:t>装饰装修材料</w:t>
      </w:r>
      <w:r>
        <w:rPr>
          <w:rFonts w:hint="eastAsia"/>
          <w:sz w:val="28"/>
          <w:szCs w:val="28"/>
          <w:lang w:val="en-US" w:eastAsia="zh-CN"/>
        </w:rPr>
        <w:t>如下（均</w:t>
      </w:r>
      <w:r>
        <w:rPr>
          <w:rFonts w:hint="eastAsia"/>
          <w:sz w:val="28"/>
          <w:szCs w:val="28"/>
        </w:rPr>
        <w:t>满足国家绿色产品评价标准对有害物质限量要求</w:t>
      </w:r>
      <w:r>
        <w:rPr>
          <w:rFonts w:hint="eastAsia"/>
          <w:sz w:val="28"/>
          <w:szCs w:val="28"/>
          <w:lang w:eastAsia="zh-CN"/>
        </w:rPr>
        <w:t>）</w:t>
      </w:r>
      <w:r>
        <w:rPr>
          <w:rFonts w:hint="eastAsia"/>
          <w:sz w:val="28"/>
          <w:szCs w:val="28"/>
        </w:rPr>
        <w:t>：</w:t>
      </w:r>
    </w:p>
    <w:p w14:paraId="14F7AD7B">
      <w:pPr>
        <w:rPr>
          <w:rFonts w:hint="eastAsia"/>
          <w:vertAlign w:val="baseline"/>
        </w:rPr>
      </w:pPr>
      <w:r>
        <w:rPr>
          <w:rFonts w:hint="eastAsia"/>
          <w:b/>
          <w:bCs/>
          <w:sz w:val="28"/>
          <w:szCs w:val="28"/>
        </w:rPr>
        <w:t>一、绿色产品选材清单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655"/>
        <w:gridCol w:w="2073"/>
        <w:gridCol w:w="2218"/>
        <w:gridCol w:w="1893"/>
      </w:tblGrid>
      <w:tr w14:paraId="56BE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vAlign w:val="center"/>
          </w:tcPr>
          <w:p w14:paraId="001D3869">
            <w:pPr>
              <w:jc w:val="center"/>
              <w:rPr>
                <w:rFonts w:hint="default" w:ascii="Times New Roman" w:hAnsi="Times New Roman" w:cs="Times New Roman"/>
                <w:vertAlign w:val="baseline"/>
              </w:rPr>
            </w:pPr>
            <w:r>
              <w:rPr>
                <w:rFonts w:hint="default" w:ascii="Times New Roman" w:hAnsi="Times New Roman" w:cs="Times New Roman"/>
              </w:rPr>
              <w:t>序号</w:t>
            </w:r>
          </w:p>
        </w:tc>
        <w:tc>
          <w:tcPr>
            <w:tcW w:w="1655" w:type="dxa"/>
            <w:vAlign w:val="center"/>
          </w:tcPr>
          <w:p w14:paraId="4CD7E5DD">
            <w:pPr>
              <w:jc w:val="center"/>
              <w:rPr>
                <w:rFonts w:hint="default" w:ascii="Times New Roman" w:hAnsi="Times New Roman" w:cs="Times New Roman"/>
                <w:vertAlign w:val="baseline"/>
              </w:rPr>
            </w:pPr>
            <w:r>
              <w:rPr>
                <w:rFonts w:hint="default" w:ascii="Times New Roman" w:hAnsi="Times New Roman" w:cs="Times New Roman"/>
              </w:rPr>
              <w:t>材料类别</w:t>
            </w:r>
          </w:p>
        </w:tc>
        <w:tc>
          <w:tcPr>
            <w:tcW w:w="2073" w:type="dxa"/>
            <w:vAlign w:val="center"/>
          </w:tcPr>
          <w:p w14:paraId="2CF17D0A">
            <w:pPr>
              <w:jc w:val="center"/>
              <w:rPr>
                <w:rFonts w:hint="default" w:ascii="Times New Roman" w:hAnsi="Times New Roman" w:cs="Times New Roman"/>
                <w:vertAlign w:val="baseline"/>
              </w:rPr>
            </w:pPr>
            <w:r>
              <w:rPr>
                <w:rFonts w:hint="default" w:ascii="Times New Roman" w:hAnsi="Times New Roman" w:cs="Times New Roman"/>
              </w:rPr>
              <w:t>具体材料</w:t>
            </w:r>
          </w:p>
        </w:tc>
        <w:tc>
          <w:tcPr>
            <w:tcW w:w="2218" w:type="dxa"/>
            <w:vAlign w:val="center"/>
          </w:tcPr>
          <w:p w14:paraId="43657938">
            <w:pPr>
              <w:jc w:val="center"/>
              <w:rPr>
                <w:rFonts w:hint="default" w:ascii="Times New Roman" w:hAnsi="Times New Roman" w:cs="Times New Roman"/>
                <w:vertAlign w:val="baseline"/>
              </w:rPr>
            </w:pPr>
            <w:r>
              <w:rPr>
                <w:rFonts w:hint="default" w:ascii="Times New Roman" w:hAnsi="Times New Roman" w:cs="Times New Roman"/>
              </w:rPr>
              <w:t>绿色产品评价标准</w:t>
            </w:r>
          </w:p>
        </w:tc>
        <w:tc>
          <w:tcPr>
            <w:tcW w:w="1893" w:type="dxa"/>
            <w:vAlign w:val="center"/>
          </w:tcPr>
          <w:p w14:paraId="6BED3E57">
            <w:pPr>
              <w:jc w:val="center"/>
              <w:rPr>
                <w:rFonts w:hint="default" w:ascii="Times New Roman" w:hAnsi="Times New Roman" w:cs="Times New Roman"/>
                <w:vertAlign w:val="baseline"/>
              </w:rPr>
            </w:pPr>
            <w:r>
              <w:rPr>
                <w:rFonts w:hint="default" w:ascii="Times New Roman" w:hAnsi="Times New Roman" w:cs="Times New Roman"/>
              </w:rPr>
              <w:t>有害物质控制要求</w:t>
            </w:r>
          </w:p>
        </w:tc>
      </w:tr>
      <w:tr w14:paraId="3B2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5D624DB">
            <w:pPr>
              <w:jc w:val="center"/>
              <w:rPr>
                <w:rFonts w:hint="default" w:ascii="Times New Roman" w:hAnsi="Times New Roman" w:cs="Times New Roman"/>
                <w:vertAlign w:val="baseline"/>
              </w:rPr>
            </w:pPr>
            <w:r>
              <w:rPr>
                <w:rFonts w:hint="default" w:ascii="Times New Roman" w:hAnsi="Times New Roman" w:cs="Times New Roman"/>
              </w:rPr>
              <w:t>1</w:t>
            </w:r>
          </w:p>
        </w:tc>
        <w:tc>
          <w:tcPr>
            <w:tcW w:w="1655" w:type="dxa"/>
            <w:vAlign w:val="center"/>
          </w:tcPr>
          <w:p w14:paraId="5F23BE3C">
            <w:pPr>
              <w:jc w:val="center"/>
              <w:rPr>
                <w:rFonts w:hint="default" w:ascii="Times New Roman" w:hAnsi="Times New Roman" w:cs="Times New Roman"/>
                <w:vertAlign w:val="baseline"/>
              </w:rPr>
            </w:pPr>
            <w:r>
              <w:rPr>
                <w:rFonts w:hint="default" w:ascii="Times New Roman" w:hAnsi="Times New Roman" w:cs="Times New Roman"/>
              </w:rPr>
              <w:t>建筑涂料</w:t>
            </w:r>
          </w:p>
        </w:tc>
        <w:tc>
          <w:tcPr>
            <w:tcW w:w="2073" w:type="dxa"/>
            <w:vAlign w:val="center"/>
          </w:tcPr>
          <w:p w14:paraId="4492A58C">
            <w:pPr>
              <w:jc w:val="center"/>
              <w:rPr>
                <w:rFonts w:hint="default" w:ascii="Times New Roman" w:hAnsi="Times New Roman" w:cs="Times New Roman"/>
                <w:vertAlign w:val="baseline"/>
              </w:rPr>
            </w:pPr>
            <w:r>
              <w:rPr>
                <w:rFonts w:hint="default" w:ascii="Times New Roman" w:hAnsi="Times New Roman" w:cs="Times New Roman"/>
              </w:rPr>
              <w:t>无机涂料、环保乳胶漆</w:t>
            </w:r>
          </w:p>
        </w:tc>
        <w:tc>
          <w:tcPr>
            <w:tcW w:w="2218" w:type="dxa"/>
            <w:vAlign w:val="center"/>
          </w:tcPr>
          <w:p w14:paraId="3D169B22">
            <w:pPr>
              <w:jc w:val="center"/>
              <w:rPr>
                <w:rFonts w:hint="default" w:ascii="Times New Roman" w:hAnsi="Times New Roman" w:cs="Times New Roman"/>
                <w:vertAlign w:val="baseline"/>
              </w:rPr>
            </w:pPr>
            <w:r>
              <w:rPr>
                <w:rFonts w:hint="default" w:ascii="Times New Roman" w:hAnsi="Times New Roman" w:cs="Times New Roman"/>
              </w:rPr>
              <w:t>GB/T</w:t>
            </w:r>
            <w:r>
              <w:rPr>
                <w:rFonts w:hint="eastAsia" w:ascii="Times New Roman" w:hAnsi="Times New Roman" w:cs="Times New Roman"/>
                <w:lang w:val="en-US" w:eastAsia="zh-CN"/>
              </w:rPr>
              <w:t xml:space="preserve"> </w:t>
            </w:r>
            <w:r>
              <w:rPr>
                <w:rFonts w:hint="default" w:ascii="Times New Roman" w:hAnsi="Times New Roman" w:cs="Times New Roman"/>
              </w:rPr>
              <w:t>35602《绿色产品评价 涂料》</w:t>
            </w:r>
          </w:p>
        </w:tc>
        <w:tc>
          <w:tcPr>
            <w:tcW w:w="1893" w:type="dxa"/>
            <w:vAlign w:val="center"/>
          </w:tcPr>
          <w:p w14:paraId="02AC2A58">
            <w:pPr>
              <w:jc w:val="center"/>
              <w:rPr>
                <w:rFonts w:hint="default" w:ascii="Times New Roman" w:hAnsi="Times New Roman" w:cs="Times New Roman"/>
                <w:vertAlign w:val="baseline"/>
              </w:rPr>
            </w:pPr>
            <w:r>
              <w:rPr>
                <w:rFonts w:hint="default" w:ascii="Times New Roman" w:hAnsi="Times New Roman" w:cs="Times New Roman"/>
              </w:rPr>
              <w:t>VOC</w:t>
            </w:r>
            <w:r>
              <w:rPr>
                <w:rFonts w:hint="eastAsia" w:ascii="宋体" w:hAnsi="宋体" w:eastAsia="宋体" w:cs="宋体"/>
              </w:rPr>
              <w:t>≤</w:t>
            </w:r>
            <w:r>
              <w:rPr>
                <w:rFonts w:hint="default" w:ascii="Times New Roman" w:hAnsi="Times New Roman" w:eastAsia="宋体" w:cs="Times New Roman"/>
              </w:rPr>
              <w:t>1</w:t>
            </w:r>
            <w:r>
              <w:rPr>
                <w:rFonts w:hint="default" w:ascii="Times New Roman" w:hAnsi="Times New Roman" w:cs="Times New Roman"/>
              </w:rPr>
              <w:t>0g/L，甲醛、苯系物未检出</w:t>
            </w:r>
          </w:p>
        </w:tc>
      </w:tr>
      <w:tr w14:paraId="4F96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F441F83">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w:t>
            </w:r>
          </w:p>
        </w:tc>
        <w:tc>
          <w:tcPr>
            <w:tcW w:w="1655" w:type="dxa"/>
            <w:vAlign w:val="center"/>
          </w:tcPr>
          <w:p w14:paraId="5BD1EB35">
            <w:pPr>
              <w:jc w:val="center"/>
              <w:rPr>
                <w:rFonts w:hint="default" w:ascii="Times New Roman" w:hAnsi="Times New Roman" w:cs="Times New Roman"/>
                <w:vertAlign w:val="baseline"/>
              </w:rPr>
            </w:pPr>
            <w:r>
              <w:rPr>
                <w:rFonts w:hint="default" w:ascii="Times New Roman" w:hAnsi="Times New Roman" w:cs="Times New Roman"/>
              </w:rPr>
              <w:t>建筑板材</w:t>
            </w:r>
          </w:p>
        </w:tc>
        <w:tc>
          <w:tcPr>
            <w:tcW w:w="2073" w:type="dxa"/>
            <w:vAlign w:val="center"/>
          </w:tcPr>
          <w:p w14:paraId="1A59998D">
            <w:pPr>
              <w:jc w:val="center"/>
              <w:rPr>
                <w:rFonts w:hint="default" w:ascii="Times New Roman" w:hAnsi="Times New Roman" w:cs="Times New Roman"/>
                <w:vertAlign w:val="baseline"/>
              </w:rPr>
            </w:pPr>
            <w:r>
              <w:rPr>
                <w:rFonts w:hint="default" w:ascii="Times New Roman" w:hAnsi="Times New Roman" w:cs="Times New Roman"/>
              </w:rPr>
              <w:t>环保板材（E0级）、纤维板</w:t>
            </w:r>
          </w:p>
        </w:tc>
        <w:tc>
          <w:tcPr>
            <w:tcW w:w="2218" w:type="dxa"/>
            <w:vAlign w:val="center"/>
          </w:tcPr>
          <w:p w14:paraId="17C58E3F">
            <w:pPr>
              <w:jc w:val="center"/>
              <w:rPr>
                <w:rFonts w:hint="default" w:ascii="Times New Roman" w:hAnsi="Times New Roman" w:cs="Times New Roman"/>
                <w:vertAlign w:val="baseline"/>
              </w:rPr>
            </w:pPr>
            <w:r>
              <w:rPr>
                <w:rFonts w:hint="default" w:ascii="Times New Roman" w:hAnsi="Times New Roman" w:cs="Times New Roman"/>
              </w:rPr>
              <w:t>GB/T 35601《绿色产品评价 人造板和木质地板》</w:t>
            </w:r>
          </w:p>
        </w:tc>
        <w:tc>
          <w:tcPr>
            <w:tcW w:w="1893" w:type="dxa"/>
            <w:vAlign w:val="center"/>
          </w:tcPr>
          <w:p w14:paraId="06DCADB8">
            <w:pPr>
              <w:jc w:val="center"/>
              <w:rPr>
                <w:rFonts w:hint="default" w:ascii="Times New Roman" w:hAnsi="Times New Roman" w:cs="Times New Roman"/>
                <w:vertAlign w:val="baseline"/>
              </w:rPr>
            </w:pPr>
            <w:r>
              <w:rPr>
                <w:rFonts w:hint="default" w:ascii="Times New Roman" w:hAnsi="Times New Roman" w:cs="Times New Roman"/>
              </w:rPr>
              <w:t>甲醛释放量</w:t>
            </w:r>
            <w:r>
              <w:rPr>
                <w:rFonts w:hint="default" w:ascii="宋体" w:hAnsi="宋体" w:eastAsia="宋体" w:cs="宋体"/>
              </w:rPr>
              <w:t>≤</w:t>
            </w:r>
            <w:r>
              <w:rPr>
                <w:rFonts w:hint="default" w:ascii="Times New Roman" w:hAnsi="Times New Roman" w:cs="Times New Roman"/>
              </w:rPr>
              <w:t>0.05mg/m³，TVOC未检出</w:t>
            </w:r>
          </w:p>
        </w:tc>
      </w:tr>
      <w:tr w14:paraId="071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7A14CC2">
            <w:pPr>
              <w:jc w:val="cente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3</w:t>
            </w:r>
          </w:p>
        </w:tc>
        <w:tc>
          <w:tcPr>
            <w:tcW w:w="1655" w:type="dxa"/>
            <w:vAlign w:val="center"/>
          </w:tcPr>
          <w:p w14:paraId="48B4FD75">
            <w:pPr>
              <w:jc w:val="center"/>
              <w:rPr>
                <w:rFonts w:hint="default" w:ascii="Times New Roman" w:hAnsi="Times New Roman" w:cs="Times New Roman"/>
                <w:vertAlign w:val="baseline"/>
              </w:rPr>
            </w:pPr>
            <w:r>
              <w:rPr>
                <w:rFonts w:hint="default" w:ascii="Times New Roman" w:hAnsi="Times New Roman" w:cs="Times New Roman"/>
              </w:rPr>
              <w:t>防水与密封材料</w:t>
            </w:r>
          </w:p>
        </w:tc>
        <w:tc>
          <w:tcPr>
            <w:tcW w:w="2073" w:type="dxa"/>
            <w:vAlign w:val="center"/>
          </w:tcPr>
          <w:p w14:paraId="364321B0">
            <w:pPr>
              <w:jc w:val="center"/>
              <w:rPr>
                <w:rFonts w:hint="default" w:ascii="Times New Roman" w:hAnsi="Times New Roman" w:cs="Times New Roman"/>
                <w:vertAlign w:val="baseline"/>
              </w:rPr>
            </w:pPr>
            <w:r>
              <w:rPr>
                <w:rFonts w:hint="default" w:ascii="Times New Roman" w:hAnsi="Times New Roman" w:cs="Times New Roman"/>
              </w:rPr>
              <w:t>硅酮耐候密封胶、聚氨酯防水涂料</w:t>
            </w:r>
          </w:p>
        </w:tc>
        <w:tc>
          <w:tcPr>
            <w:tcW w:w="2218" w:type="dxa"/>
            <w:vAlign w:val="center"/>
          </w:tcPr>
          <w:p w14:paraId="04CB36B2">
            <w:pPr>
              <w:jc w:val="center"/>
              <w:rPr>
                <w:rFonts w:hint="default" w:ascii="Times New Roman" w:hAnsi="Times New Roman" w:cs="Times New Roman"/>
                <w:vertAlign w:val="baseline"/>
              </w:rPr>
            </w:pPr>
            <w:r>
              <w:rPr>
                <w:rFonts w:hint="default" w:ascii="Times New Roman" w:hAnsi="Times New Roman" w:cs="Times New Roman"/>
              </w:rPr>
              <w:t>GB/T 35609《绿色产品评价 防水与密封材料》</w:t>
            </w:r>
          </w:p>
        </w:tc>
        <w:tc>
          <w:tcPr>
            <w:tcW w:w="1893" w:type="dxa"/>
            <w:vAlign w:val="center"/>
          </w:tcPr>
          <w:p w14:paraId="63B5E943">
            <w:pPr>
              <w:jc w:val="center"/>
              <w:rPr>
                <w:rFonts w:hint="default" w:ascii="Times New Roman" w:hAnsi="Times New Roman" w:cs="Times New Roman"/>
                <w:vertAlign w:val="baseline"/>
              </w:rPr>
            </w:pPr>
            <w:r>
              <w:rPr>
                <w:rFonts w:hint="default" w:ascii="Times New Roman" w:hAnsi="Times New Roman" w:cs="Times New Roman"/>
              </w:rPr>
              <w:t>VOC</w:t>
            </w:r>
            <w:r>
              <w:rPr>
                <w:rFonts w:hint="default" w:ascii="宋体" w:hAnsi="宋体" w:eastAsia="宋体" w:cs="宋体"/>
              </w:rPr>
              <w:t>≤</w:t>
            </w:r>
            <w:r>
              <w:rPr>
                <w:rFonts w:hint="default" w:ascii="Times New Roman" w:hAnsi="Times New Roman" w:cs="Times New Roman"/>
              </w:rPr>
              <w:t>80g/L，游离甲醛</w:t>
            </w:r>
            <w:r>
              <w:rPr>
                <w:rFonts w:hint="default" w:ascii="宋体" w:hAnsi="宋体" w:eastAsia="宋体" w:cs="宋体"/>
              </w:rPr>
              <w:t>≤</w:t>
            </w:r>
            <w:r>
              <w:rPr>
                <w:rFonts w:hint="default" w:ascii="Times New Roman" w:hAnsi="Times New Roman" w:cs="Times New Roman"/>
              </w:rPr>
              <w:t>0.1g/kg</w:t>
            </w:r>
          </w:p>
        </w:tc>
      </w:tr>
    </w:tbl>
    <w:p w14:paraId="24028B81">
      <w:pPr>
        <w:rPr>
          <w:rFonts w:hint="eastAsia"/>
        </w:rPr>
      </w:pPr>
    </w:p>
    <w:p w14:paraId="6720FD8A">
      <w:pPr>
        <w:rPr>
          <w:rFonts w:hint="eastAsia"/>
          <w:sz w:val="28"/>
          <w:szCs w:val="28"/>
        </w:rPr>
      </w:pPr>
      <w:r>
        <w:rPr>
          <w:rFonts w:hint="eastAsia"/>
          <w:b/>
          <w:bCs/>
          <w:sz w:val="28"/>
          <w:szCs w:val="28"/>
        </w:rPr>
        <w:t>二、材料选用依据</w:t>
      </w:r>
    </w:p>
    <w:p w14:paraId="54E22BA6">
      <w:pPr>
        <w:ind w:firstLine="560" w:firstLineChars="200"/>
        <w:rPr>
          <w:rFonts w:hint="eastAsia"/>
          <w:sz w:val="28"/>
          <w:szCs w:val="28"/>
        </w:rPr>
      </w:pP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建筑涂料：展览空间、公共区域墙面采用无机涂料，办公空间采用环保乳胶漆。产品通过中国环境标志产品认证，检测报告显示VOC含量</w:t>
      </w:r>
      <w:r>
        <w:rPr>
          <w:rFonts w:hint="eastAsia"/>
          <w:sz w:val="28"/>
          <w:szCs w:val="28"/>
        </w:rPr>
        <w:t>≤</w:t>
      </w:r>
      <w:r>
        <w:rPr>
          <w:rFonts w:hint="default" w:ascii="Times New Roman" w:hAnsi="Times New Roman" w:cs="Times New Roman"/>
          <w:sz w:val="28"/>
          <w:szCs w:val="28"/>
        </w:rPr>
        <w:t>10g/L，远低于国家标准限值</w:t>
      </w:r>
      <w:r>
        <w:rPr>
          <w:rFonts w:hint="eastAsia"/>
          <w:sz w:val="28"/>
          <w:szCs w:val="28"/>
        </w:rPr>
        <w:t>（≤</w:t>
      </w:r>
      <w:r>
        <w:rPr>
          <w:rFonts w:hint="default" w:ascii="Times New Roman" w:hAnsi="Times New Roman" w:cs="Times New Roman"/>
          <w:sz w:val="28"/>
          <w:szCs w:val="28"/>
        </w:rPr>
        <w:t>50g/L），游离甲醛、苯系物均未检出。</w:t>
      </w:r>
    </w:p>
    <w:p w14:paraId="45C3918F">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建筑板材：固定展柜、服务台、隔断等采用E0级环保板材，甲醛释放量</w:t>
      </w:r>
      <w:r>
        <w:rPr>
          <w:rFonts w:hint="eastAsia"/>
          <w:sz w:val="28"/>
          <w:szCs w:val="28"/>
        </w:rPr>
        <w:t>≤</w:t>
      </w:r>
      <w:r>
        <w:rPr>
          <w:rFonts w:hint="default" w:ascii="Times New Roman" w:hAnsi="Times New Roman" w:cs="Times New Roman"/>
          <w:sz w:val="28"/>
          <w:szCs w:val="28"/>
        </w:rPr>
        <w:t>0.05mg/m³，达到《绿色产品评价 人造板和木质地板》GB/T 35601要求。板材供应商提供第三方检测报告及绿色产品认证证书。</w:t>
      </w:r>
    </w:p>
    <w:p w14:paraId="603C644D">
      <w:pPr>
        <w:ind w:firstLine="560" w:firstLineChars="200"/>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防水与密封材料：门窗框与墙体接缝、幕墙接缝采用硅酮耐候密封胶，卫生间防水采用聚氨酯防水涂料。产品通过绿色产品认证，检测报告显示VOC</w:t>
      </w:r>
      <w:r>
        <w:rPr>
          <w:rFonts w:hint="eastAsia"/>
          <w:sz w:val="28"/>
          <w:szCs w:val="28"/>
        </w:rPr>
        <w:t>≤</w:t>
      </w:r>
      <w:r>
        <w:rPr>
          <w:rFonts w:hint="default" w:ascii="Times New Roman" w:hAnsi="Times New Roman" w:cs="Times New Roman"/>
          <w:sz w:val="28"/>
          <w:szCs w:val="28"/>
        </w:rPr>
        <w:t>80g/L，游离甲醛</w:t>
      </w:r>
      <w:r>
        <w:rPr>
          <w:rFonts w:hint="eastAsia"/>
          <w:sz w:val="28"/>
          <w:szCs w:val="28"/>
        </w:rPr>
        <w:t>≤</w:t>
      </w:r>
      <w:r>
        <w:rPr>
          <w:rFonts w:hint="default" w:ascii="Times New Roman" w:hAnsi="Times New Roman" w:cs="Times New Roman"/>
          <w:sz w:val="28"/>
          <w:szCs w:val="28"/>
        </w:rPr>
        <w:t>0.1g/kg。</w:t>
      </w:r>
    </w:p>
    <w:p w14:paraId="1AB5A451">
      <w:pPr>
        <w:rPr>
          <w:rFonts w:hint="eastAsia"/>
          <w:sz w:val="28"/>
          <w:szCs w:val="28"/>
        </w:rPr>
      </w:pPr>
      <w:r>
        <w:rPr>
          <w:rFonts w:hint="eastAsia"/>
          <w:sz w:val="28"/>
          <w:szCs w:val="28"/>
        </w:rPr>
        <w:t>三、证明材料</w:t>
      </w:r>
    </w:p>
    <w:p w14:paraId="20148080">
      <w:pPr>
        <w:ind w:firstLine="560" w:firstLineChars="200"/>
        <w:rPr>
          <w:rFonts w:hint="eastAsia"/>
          <w:sz w:val="28"/>
          <w:szCs w:val="28"/>
        </w:rPr>
      </w:pPr>
      <w:r>
        <w:rPr>
          <w:rFonts w:hint="eastAsia"/>
          <w:sz w:val="28"/>
          <w:szCs w:val="28"/>
        </w:rPr>
        <w:t>所有选用的装饰装修材料均要求供应商提供以下证明文件：</w:t>
      </w:r>
    </w:p>
    <w:p w14:paraId="6CF3D689">
      <w:pPr>
        <w:ind w:firstLine="560" w:firstLineChars="200"/>
        <w:rPr>
          <w:rFonts w:hint="eastAsia"/>
          <w:sz w:val="28"/>
          <w:szCs w:val="28"/>
        </w:rPr>
      </w:pPr>
      <w:r>
        <w:rPr>
          <w:rFonts w:hint="eastAsia"/>
          <w:sz w:val="28"/>
          <w:szCs w:val="28"/>
        </w:rPr>
        <w:t>中国环境标志产品认证证书</w:t>
      </w:r>
      <w:r>
        <w:rPr>
          <w:rFonts w:hint="eastAsia"/>
          <w:sz w:val="28"/>
          <w:szCs w:val="28"/>
          <w:lang w:eastAsia="zh-CN"/>
        </w:rPr>
        <w:t>、</w:t>
      </w:r>
      <w:r>
        <w:rPr>
          <w:rFonts w:hint="eastAsia"/>
          <w:sz w:val="28"/>
          <w:szCs w:val="28"/>
        </w:rPr>
        <w:t>国家绿色产品评价标准符合性检测报告</w:t>
      </w:r>
      <w:r>
        <w:rPr>
          <w:rFonts w:hint="eastAsia"/>
          <w:sz w:val="28"/>
          <w:szCs w:val="28"/>
          <w:lang w:eastAsia="zh-CN"/>
        </w:rPr>
        <w:t>、</w:t>
      </w:r>
      <w:r>
        <w:rPr>
          <w:rFonts w:hint="eastAsia"/>
          <w:sz w:val="28"/>
          <w:szCs w:val="28"/>
        </w:rPr>
        <w:t>产品合格证及出厂检验报告。</w:t>
      </w:r>
    </w:p>
    <w:p w14:paraId="63054D0E">
      <w:pPr>
        <w:rPr>
          <w:rFonts w:hint="eastAsia" w:eastAsiaTheme="minorEastAsia"/>
          <w:sz w:val="28"/>
          <w:szCs w:val="28"/>
          <w:lang w:val="en-US" w:eastAsia="zh-CN"/>
        </w:rPr>
      </w:pPr>
      <w:r>
        <w:rPr>
          <w:rFonts w:hint="eastAsia"/>
          <w:sz w:val="28"/>
          <w:szCs w:val="28"/>
          <w:lang w:val="en-US" w:eastAsia="zh-CN"/>
        </w:rPr>
        <w:t xml:space="preserve"> </w:t>
      </w:r>
    </w:p>
    <w:p w14:paraId="2AB581D2">
      <w:pPr>
        <w:ind w:firstLine="560" w:firstLineChars="200"/>
        <w:rPr>
          <w:sz w:val="28"/>
          <w:szCs w:val="28"/>
        </w:rPr>
      </w:pPr>
      <w:r>
        <w:rPr>
          <w:rFonts w:hint="default" w:ascii="Times New Roman" w:hAnsi="Times New Roman" w:cs="Times New Roman"/>
          <w:sz w:val="28"/>
          <w:szCs w:val="28"/>
        </w:rPr>
        <w:t>以上</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类装饰装修材料均满足国家现行绿色产品评价标准中对有害物质限量的要求，达到</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类</w:t>
      </w:r>
      <w:bookmarkStart w:id="0" w:name="_GoBack"/>
      <w:bookmarkEnd w:id="0"/>
      <w:r>
        <w:rPr>
          <w:rFonts w:hint="default" w:ascii="Times New Roman" w:hAnsi="Times New Roman" w:cs="Times New Roman"/>
          <w:sz w:val="28"/>
          <w:szCs w:val="28"/>
        </w:rPr>
        <w:t>，满足三星级绿色建筑评价标准要求。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D11D2"/>
    <w:rsid w:val="29053906"/>
    <w:rsid w:val="323224E6"/>
    <w:rsid w:val="3C7050E2"/>
    <w:rsid w:val="3E943B3B"/>
    <w:rsid w:val="7977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1084</Characters>
  <Lines>0</Lines>
  <Paragraphs>0</Paragraphs>
  <TotalTime>12</TotalTime>
  <ScaleCrop>false</ScaleCrop>
  <LinksUpToDate>false</LinksUpToDate>
  <CharactersWithSpaces>1103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2026-03-21T07:12:00Z</dcterms:created>
  <dc:creator>10705</dc:creator>
  <cp:lastModifiedBy>王翔</cp:lastModifiedBy>
  <dcterms:modified xsi:type="dcterms:W3CDTF">2026-03-25T07:47:56Z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eyJoZGlkIjoiMjhmOGRjYzBlNzQ0YjU0ZmY3Y2ZmMjA0NDlhYThiMDAiLCJ1c2VySWQiOiIxMTI2NTU4MDEwIn0=</vt:lpwstr>
  </property>
  <property fmtid="{D5CDD505-2E9C-101B-9397-08002B2CF9AE}" pid="4" name="ICV">
    <vt:lpwstr>E8EE88BD47274E5EB2D8DDD599351F54_12</vt:lpwstr>
  </property>
</Properties>
</file>