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本项目制定空气质量监测系统管理制度如下：</w:t>
      </w:r>
    </w:p>
    <w:p w14:paraId="0588346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一、管理目的</w:t>
      </w:r>
    </w:p>
    <w:p w14:paraId="662DC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为保障室内空气质量，确保监测系统稳定运行，满足绿色建筑三星级运行评价要求，制定本制度。</w:t>
      </w:r>
    </w:p>
    <w:p w14:paraId="52E76009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二、管理范围</w:t>
      </w:r>
    </w:p>
    <w:p w14:paraId="554E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本制度适用于博物馆内所有安装空气质量监测设备的区域，包括展览空间、办公空间、休闲服务空间等。</w:t>
      </w:r>
    </w:p>
    <w:p w14:paraId="34AAE14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三、监测系统配置</w:t>
      </w:r>
    </w:p>
    <w:p w14:paraId="11CB0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监测指标：PM10、PM2.5、CO₂浓度。</w:t>
      </w:r>
    </w:p>
    <w:p w14:paraId="2233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布点原则：每层设置不少于2个监测点位，覆盖主要功能区域；监测点位避开风口、门窗等局部影响位置。</w:t>
      </w:r>
    </w:p>
    <w:p w14:paraId="3B290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显示装置：各主要入口处设置显示屏幕，实时展示室内空气质量数据，便于访客与管理方查看。</w:t>
      </w:r>
    </w:p>
    <w:p w14:paraId="1514C846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四、数据管理</w:t>
      </w:r>
    </w:p>
    <w:p w14:paraId="2D1D2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数据存储：监测系统自动存储历史数据，保存期限不少于一年。</w:t>
      </w:r>
    </w:p>
    <w:p w14:paraId="33EF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数据备份：每月进行一次数据备份，防止数据丢失。</w:t>
      </w:r>
    </w:p>
    <w:p w14:paraId="78D9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数据分析：每季度对监测数据进行统计分析，评估空气质量变化趋势，为系统运行优化提供依据。</w:t>
      </w:r>
    </w:p>
    <w:p w14:paraId="3A7979F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五、系统运行与维护</w:t>
      </w:r>
    </w:p>
    <w:p w14:paraId="7A0FE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日常巡检：物业管理人员每周对监测设备进行外观检查，确保显示正常、传感器无遮挡。</w:t>
      </w:r>
    </w:p>
    <w:p w14:paraId="53EFF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定期校准：每半年委托第三方专业机构对监测设备进行校准，确保数据准确性，并出具校准报告。</w:t>
      </w:r>
    </w:p>
    <w:p w14:paraId="6B75A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故障处理：发现设备异常时，24小时内报修，48小时内完成修复；故障期间启用便携式监测设备进行临时监测。</w:t>
      </w:r>
    </w:p>
    <w:p w14:paraId="3DA11553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六、记录管理</w:t>
      </w:r>
    </w:p>
    <w:p w14:paraId="32154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建立《空气质量监测系统运行记录表》，记录日常巡检、校准、维修等情况。</w:t>
      </w:r>
    </w:p>
    <w:p w14:paraId="0387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相关记录保存不少于三年，以备核查。</w:t>
      </w:r>
    </w:p>
    <w:p w14:paraId="344B5803">
      <w:pP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七、应急响应</w:t>
      </w:r>
    </w:p>
    <w:p w14:paraId="0FA2B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当监测数据显示PM2.5浓度超过35μg/m³、PM10超过75μg/m³或CO₂浓度超过1000ppm时，启动以下应急措施：</w:t>
      </w:r>
    </w:p>
    <w:p w14:paraId="1A98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cs="Times New Roman"/>
          <w:sz w:val="28"/>
          <w:szCs w:val="28"/>
        </w:rPr>
        <w:t>检查新风系统运行状态；</w:t>
      </w:r>
    </w:p>
    <w:p w14:paraId="2365B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2、</w:t>
      </w:r>
      <w:r>
        <w:rPr>
          <w:rFonts w:hint="default" w:ascii="Times New Roman" w:hAnsi="Times New Roman" w:cs="Times New Roman"/>
          <w:sz w:val="28"/>
          <w:szCs w:val="28"/>
        </w:rPr>
        <w:t>调整通风策略，增加换气频次；</w:t>
      </w:r>
    </w:p>
    <w:p w14:paraId="74B4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3、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记录异常情况，分析原因并采取整改措施。</w:t>
      </w:r>
    </w:p>
    <w:p w14:paraId="260F1ACD">
      <w:pPr>
        <w:rPr>
          <w:rFonts w:hint="default" w:ascii="Times New Roman" w:hAnsi="Times New Roman" w:cs="Times New Roman"/>
          <w:sz w:val="28"/>
          <w:szCs w:val="28"/>
        </w:rPr>
      </w:pPr>
    </w:p>
    <w:p w14:paraId="14B3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以上制度确保空气质量监测系统规范运行，满足三星级绿色建筑评价要求。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6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2026-03-21T02:27:25Z</dcterms:created>
  <dc:creator>10705</dc:creator>
  <cp:lastModifiedBy>王翔</cp:lastModifiedBy>
  <dcterms:modified xsi:type="dcterms:W3CDTF">2026-03-21T02:30:05Z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4B3970ACB06B4A48AD7966AACB3B3381_12</vt:lpwstr>
  </property>
</Properties>
</file>