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default" w:ascii="Times New Roman" w:hAnsi="Times New Roman" w:cs="Times New Roman"/>
          <w:sz w:val="28"/>
          <w:szCs w:val="28"/>
        </w:rPr>
        <w:t>本项目利用场地内雨水收集系统，收集屋面及场地雨水经沉淀、过滤处理后，用于绿化灌溉和景观水体补水。绿化灌溉年用水量约800m³，全部采用非传统水源；景观水体年补水量约760m³，全部采用雨水补给，占水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体蒸发量的80%。非传统水源总利用量约1560m³/a，占绿化灌溉及景观补水总用水量的100%，有效节约市政自来水用量，具有良好的节水效益。本项目未采用非传统水源用于冲厕及冷却水补水。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1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2026-03-25T11:25:11Z</dcterms:created>
  <dc:creator>10705</dc:creator>
  <cp:lastModifiedBy>王翔</cp:lastModifiedBy>
  <dcterms:modified xsi:type="dcterms:W3CDTF">2026-03-25T11:27:23Z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4B717CCD4AAC47F5B5BCF7C085C024C0_12</vt:lpwstr>
  </property>
</Properties>
</file>