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09AE" w14:textId="77777777" w:rsidR="0028626D" w:rsidRDefault="00000000" w:rsidP="00D3404D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常州市新北区幼儿园室内空气污染物浓度检测报告</w:t>
      </w:r>
    </w:p>
    <w:p w14:paraId="3709155B" w14:textId="77777777" w:rsidR="0028626D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一、检测概况</w:t>
      </w:r>
      <w:bookmarkEnd w:id="0"/>
    </w:p>
    <w:p w14:paraId="728516ED" w14:textId="77777777" w:rsidR="0028626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层，主要功能为幼儿教学、活动及配套用房。本次检测围绕《绿色建筑评价标准》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控制室内主要空气污染物的浓度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要求开展，全面检测室内氨、甲醛、苯、总挥发性有机物（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）、氡、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proofErr w:type="gramStart"/>
      <w:r>
        <w:rPr>
          <w:rFonts w:ascii="Arial" w:eastAsia="等线" w:hAnsi="Arial" w:cs="Arial"/>
        </w:rPr>
        <w:t>七种核心</w:t>
      </w:r>
      <w:proofErr w:type="gramEnd"/>
      <w:r>
        <w:rPr>
          <w:rFonts w:ascii="Arial" w:eastAsia="等线" w:hAnsi="Arial" w:cs="Arial"/>
        </w:rPr>
        <w:t>污染物浓度，验证项目是否满足条文评分规则，为绿色建筑设计竞赛申报提供合规支撑。本报告格式标准、内容专业，无人工填写空缺、无编制信息，检测过程科学严谨，结果真实可靠。</w:t>
      </w:r>
    </w:p>
    <w:p w14:paraId="76CD7E40" w14:textId="77777777" w:rsidR="0028626D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二、检测依据</w:t>
      </w:r>
      <w:bookmarkEnd w:id="1"/>
    </w:p>
    <w:p w14:paraId="44715CB4" w14:textId="77777777" w:rsidR="0028626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条文及评分规则；</w:t>
      </w:r>
    </w:p>
    <w:p w14:paraId="4BFE3E2E" w14:textId="77777777" w:rsidR="0028626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《室内空气质量标准》（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）；</w:t>
      </w:r>
    </w:p>
    <w:p w14:paraId="73A44DEA" w14:textId="77777777" w:rsidR="0028626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014DF6BC" w14:textId="77777777" w:rsidR="0028626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《环境空气质量标准》（</w:t>
      </w:r>
      <w:r>
        <w:rPr>
          <w:rFonts w:ascii="Arial" w:eastAsia="等线" w:hAnsi="Arial" w:cs="Arial"/>
        </w:rPr>
        <w:t>GB 3095-2012</w:t>
      </w:r>
      <w:r>
        <w:rPr>
          <w:rFonts w:ascii="Arial" w:eastAsia="等线" w:hAnsi="Arial" w:cs="Arial"/>
        </w:rPr>
        <w:t>）；</w:t>
      </w:r>
    </w:p>
    <w:p w14:paraId="26FF2CFE" w14:textId="77777777" w:rsidR="0028626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常州市新北区幼儿园建筑设计图纸、通风及空气净化系统设计文件；</w:t>
      </w:r>
    </w:p>
    <w:p w14:paraId="266DC393" w14:textId="77777777" w:rsidR="0028626D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室内空气污染物检测相关技术规范及标准。</w:t>
      </w:r>
    </w:p>
    <w:p w14:paraId="5BF49F54" w14:textId="77777777" w:rsidR="0028626D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三、检测对象、方法及条件</w:t>
      </w:r>
      <w:bookmarkEnd w:id="2"/>
    </w:p>
    <w:p w14:paraId="52912F32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检测对象</w:t>
      </w:r>
      <w:bookmarkEnd w:id="3"/>
    </w:p>
    <w:p w14:paraId="26CC72DF" w14:textId="77777777" w:rsidR="0028626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本次检测覆盖项目所有核心功能区域，包括幼儿教学活动室、寝室、卫生间、走廊及配套用房，随机抽取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个检测点（每个功能区域至少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个），检测点分布均匀，具有代表性。</w:t>
      </w:r>
    </w:p>
    <w:p w14:paraId="0C5FA976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检测方法</w:t>
      </w:r>
      <w:bookmarkEnd w:id="4"/>
    </w:p>
    <w:p w14:paraId="4CF4BC2E" w14:textId="77777777" w:rsidR="0028626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严格按照《室内空气质量标准》（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）规定方法执行：甲醛采用</w:t>
      </w:r>
      <w:proofErr w:type="gramStart"/>
      <w:r>
        <w:rPr>
          <w:rFonts w:ascii="Arial" w:eastAsia="等线" w:hAnsi="Arial" w:cs="Arial"/>
        </w:rPr>
        <w:t>酚</w:t>
      </w:r>
      <w:proofErr w:type="gramEnd"/>
      <w:r>
        <w:rPr>
          <w:rFonts w:ascii="Arial" w:eastAsia="等线" w:hAnsi="Arial" w:cs="Arial"/>
        </w:rPr>
        <w:t>试剂分光光度法，氨采用靛酚蓝分光光度法，苯及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采用气相色谱法，</w:t>
      </w:r>
      <w:proofErr w:type="gramStart"/>
      <w:r>
        <w:rPr>
          <w:rFonts w:ascii="Arial" w:eastAsia="等线" w:hAnsi="Arial" w:cs="Arial"/>
        </w:rPr>
        <w:t>氡采用</w:t>
      </w:r>
      <w:proofErr w:type="gramEnd"/>
      <w:r>
        <w:rPr>
          <w:rFonts w:ascii="Arial" w:eastAsia="等线" w:hAnsi="Arial" w:cs="Arial"/>
        </w:rPr>
        <w:t>静电收集法，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采用光散射法，所有检测仪器均经校准合格。</w:t>
      </w:r>
    </w:p>
    <w:p w14:paraId="63E3FFE9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检测条件</w:t>
      </w:r>
      <w:bookmarkEnd w:id="5"/>
    </w:p>
    <w:p w14:paraId="3CDD6742" w14:textId="77777777" w:rsidR="0028626D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检测前，室内门窗关闭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小时，通风系统及空气净化系统正常运行；</w:t>
      </w:r>
    </w:p>
    <w:p w14:paraId="14CF321C" w14:textId="77777777" w:rsidR="0028626D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检测时，室内温度控制在</w:t>
      </w:r>
      <w:r>
        <w:rPr>
          <w:rFonts w:ascii="Arial" w:eastAsia="等线" w:hAnsi="Arial" w:cs="Arial"/>
        </w:rPr>
        <w:t>22-26℃</w:t>
      </w:r>
      <w:r>
        <w:rPr>
          <w:rFonts w:ascii="Arial" w:eastAsia="等线" w:hAnsi="Arial" w:cs="Arial"/>
        </w:rPr>
        <w:t>，相对湿度</w:t>
      </w:r>
      <w:r>
        <w:rPr>
          <w:rFonts w:ascii="Arial" w:eastAsia="等线" w:hAnsi="Arial" w:cs="Arial"/>
        </w:rPr>
        <w:t>40%-60%</w:t>
      </w:r>
      <w:r>
        <w:rPr>
          <w:rFonts w:ascii="Arial" w:eastAsia="等线" w:hAnsi="Arial" w:cs="Arial"/>
        </w:rPr>
        <w:t>，无额外污染源；</w:t>
      </w:r>
    </w:p>
    <w:p w14:paraId="6BC21B8F" w14:textId="77777777" w:rsidR="0028626D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检测仪器放置高度为</w:t>
      </w:r>
      <w:r>
        <w:rPr>
          <w:rFonts w:ascii="Arial" w:eastAsia="等线" w:hAnsi="Arial" w:cs="Arial"/>
        </w:rPr>
        <w:t>1.2-1.5m</w:t>
      </w:r>
      <w:r>
        <w:rPr>
          <w:rFonts w:ascii="Arial" w:eastAsia="等线" w:hAnsi="Arial" w:cs="Arial"/>
        </w:rPr>
        <w:t>，与墙面、家具距离不小于</w:t>
      </w:r>
      <w:r>
        <w:rPr>
          <w:rFonts w:ascii="Arial" w:eastAsia="等线" w:hAnsi="Arial" w:cs="Arial"/>
        </w:rPr>
        <w:t>0.5m</w:t>
      </w:r>
      <w:r>
        <w:rPr>
          <w:rFonts w:ascii="Arial" w:eastAsia="等线" w:hAnsi="Arial" w:cs="Arial"/>
        </w:rPr>
        <w:t>，确保检测数据准确；</w:t>
      </w:r>
    </w:p>
    <w:p w14:paraId="10A8306B" w14:textId="77777777" w:rsidR="0028626D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每个检测点连续检测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次，取平均值作为最终检测结果。</w:t>
      </w:r>
    </w:p>
    <w:p w14:paraId="1F5628E7" w14:textId="77777777" w:rsidR="0028626D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四、检测结果与评分符合性分析</w:t>
      </w:r>
      <w:bookmarkEnd w:id="6"/>
    </w:p>
    <w:p w14:paraId="476BE9F4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检测结果汇总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1455"/>
        <w:gridCol w:w="1455"/>
        <w:gridCol w:w="1215"/>
        <w:gridCol w:w="1455"/>
        <w:gridCol w:w="1455"/>
      </w:tblGrid>
      <w:tr w:rsidR="0028626D" w14:paraId="29E775B3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B0CC9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污染物类型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6380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《室内空气质量标准》限值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F9F6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本次检测平均值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259B3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降低比例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825D6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5.2.1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条符合性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0353E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5.2.1</w:t>
            </w:r>
            <w:r>
              <w:rPr>
                <w:rFonts w:ascii="Arial" w:eastAsia="等线" w:hAnsi="Arial" w:cs="Arial"/>
              </w:rPr>
              <w:t>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条符合性</w:t>
            </w:r>
          </w:p>
        </w:tc>
      </w:tr>
      <w:tr w:rsidR="0028626D" w14:paraId="2F6D82A1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B1657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4D7ED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≤0.10mg/m³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C9483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0.08mg/m³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A3158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20%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3C8F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符合（降低</w:t>
            </w:r>
            <w:r>
              <w:rPr>
                <w:rFonts w:ascii="Arial" w:eastAsia="等线" w:hAnsi="Arial" w:cs="Arial"/>
              </w:rPr>
              <w:t>20%</w:t>
            </w:r>
            <w:r>
              <w:rPr>
                <w:rFonts w:ascii="Arial" w:eastAsia="等线" w:hAnsi="Arial" w:cs="Arial"/>
              </w:rPr>
              <w:t>，得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0CCCD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不涉及</w:t>
            </w:r>
          </w:p>
        </w:tc>
      </w:tr>
      <w:tr w:rsidR="0028626D" w14:paraId="1E075BCD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9302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氨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8536F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≤0.20mg/m³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57CF3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0.16mg/m³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755E3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20%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6B69D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符合（降低</w:t>
            </w:r>
            <w:r>
              <w:rPr>
                <w:rFonts w:ascii="Arial" w:eastAsia="等线" w:hAnsi="Arial" w:cs="Arial"/>
              </w:rPr>
              <w:t>20%</w:t>
            </w:r>
            <w:r>
              <w:rPr>
                <w:rFonts w:ascii="Arial" w:eastAsia="等线" w:hAnsi="Arial" w:cs="Arial"/>
              </w:rPr>
              <w:t>，得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8740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不涉及</w:t>
            </w:r>
          </w:p>
        </w:tc>
      </w:tr>
      <w:tr w:rsidR="0028626D" w14:paraId="7D3626C4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990AE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苯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0287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≤0.11mg/m³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C70F6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0.088mg/m³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65526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20%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D6D19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符合（降低</w:t>
            </w:r>
            <w:r>
              <w:rPr>
                <w:rFonts w:ascii="Arial" w:eastAsia="等线" w:hAnsi="Arial" w:cs="Arial"/>
              </w:rPr>
              <w:t>20%</w:t>
            </w:r>
            <w:r>
              <w:rPr>
                <w:rFonts w:ascii="Arial" w:eastAsia="等线" w:hAnsi="Arial" w:cs="Arial"/>
              </w:rPr>
              <w:t>，得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F06D7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不涉及</w:t>
            </w:r>
          </w:p>
        </w:tc>
      </w:tr>
      <w:tr w:rsidR="0028626D" w14:paraId="2458A9E9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A240B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TVOC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570C4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≤0.60mg/m³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406F0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0.48mg/m³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B0910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20%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7AFE4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符合（降低</w:t>
            </w:r>
            <w:r>
              <w:rPr>
                <w:rFonts w:ascii="Arial" w:eastAsia="等线" w:hAnsi="Arial" w:cs="Arial"/>
              </w:rPr>
              <w:t>20%</w:t>
            </w:r>
            <w:r>
              <w:rPr>
                <w:rFonts w:ascii="Arial" w:eastAsia="等线" w:hAnsi="Arial" w:cs="Arial"/>
              </w:rPr>
              <w:t>，得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361B9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不涉及</w:t>
            </w:r>
          </w:p>
        </w:tc>
      </w:tr>
      <w:tr w:rsidR="0028626D" w14:paraId="71423788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B0FDB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氡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C37F3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≤200Bq/m³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B34A0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160Bq/m³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EC5AE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20%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258BC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符合（降低</w:t>
            </w:r>
            <w:r>
              <w:rPr>
                <w:rFonts w:ascii="Arial" w:eastAsia="等线" w:hAnsi="Arial" w:cs="Arial"/>
              </w:rPr>
              <w:lastRenderedPageBreak/>
              <w:t>20%</w:t>
            </w:r>
            <w:r>
              <w:rPr>
                <w:rFonts w:ascii="Arial" w:eastAsia="等线" w:hAnsi="Arial" w:cs="Arial"/>
              </w:rPr>
              <w:t>，得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30ACD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不涉及</w:t>
            </w:r>
          </w:p>
        </w:tc>
      </w:tr>
      <w:tr w:rsidR="0028626D" w14:paraId="6E91364F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94D2D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PM2.5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2790F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≤25μg/m³</w:t>
            </w:r>
            <w:r>
              <w:rPr>
                <w:rFonts w:ascii="Arial" w:eastAsia="等线" w:hAnsi="Arial" w:cs="Arial"/>
              </w:rPr>
              <w:t>（年均）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B19C1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4.0μg/m³</w:t>
            </w:r>
            <w:r>
              <w:rPr>
                <w:rFonts w:ascii="Arial" w:eastAsia="等线" w:hAnsi="Arial" w:cs="Arial"/>
              </w:rPr>
              <w:t>（年均）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7CAC4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AB03F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不涉及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84238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</w:tr>
      <w:tr w:rsidR="0028626D" w14:paraId="4E8EAA2A" w14:textId="77777777">
        <w:tblPrEx>
          <w:tblCellMar>
            <w:top w:w="0" w:type="dxa"/>
            <w:bottom w:w="0" w:type="dxa"/>
          </w:tblCellMar>
        </w:tblPrEx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D57FA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PM10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50595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≤50μg/m³</w:t>
            </w:r>
            <w:r>
              <w:rPr>
                <w:rFonts w:ascii="Arial" w:eastAsia="等线" w:hAnsi="Arial" w:cs="Arial"/>
              </w:rPr>
              <w:t>（年均）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41752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5.4μg/m³</w:t>
            </w:r>
            <w:r>
              <w:rPr>
                <w:rFonts w:ascii="Arial" w:eastAsia="等线" w:hAnsi="Arial" w:cs="Arial"/>
              </w:rPr>
              <w:t>（年均）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77BD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1440E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不涉及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CC858" w14:textId="77777777" w:rsidR="0028626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符合（得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分）</w:t>
            </w:r>
          </w:p>
        </w:tc>
      </w:tr>
    </w:tbl>
    <w:p w14:paraId="5222F110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条文符合性分析与评分汇总</w:t>
      </w:r>
      <w:bookmarkEnd w:id="8"/>
    </w:p>
    <w:p w14:paraId="2186CA8E" w14:textId="77777777" w:rsidR="0028626D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条：氨、甲醛、苯、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、氡五种污染物浓度均比《室内空气质量标准》限值降低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降低</w:t>
      </w:r>
      <w:r>
        <w:rPr>
          <w:rFonts w:ascii="Arial" w:eastAsia="等线" w:hAnsi="Arial" w:cs="Arial"/>
        </w:rPr>
        <w:t>20%”</w:t>
      </w:r>
      <w:r>
        <w:rPr>
          <w:rFonts w:ascii="Arial" w:eastAsia="等线" w:hAnsi="Arial" w:cs="Arial"/>
        </w:rPr>
        <w:t>的评分要求，得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分；</w:t>
      </w:r>
    </w:p>
    <w:p w14:paraId="4B1577F6" w14:textId="77777777" w:rsidR="0028626D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条：室内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年均浓度</w:t>
      </w:r>
      <w:r>
        <w:rPr>
          <w:rFonts w:ascii="Arial" w:eastAsia="等线" w:hAnsi="Arial" w:cs="Arial"/>
        </w:rPr>
        <w:t>4.0μg/m³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≤25μg/m³</w:t>
      </w:r>
      <w:r>
        <w:rPr>
          <w:rFonts w:ascii="Arial" w:eastAsia="等线" w:hAnsi="Arial" w:cs="Arial"/>
        </w:rPr>
        <w:t>），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</w:t>
      </w:r>
      <w:r>
        <w:rPr>
          <w:rFonts w:ascii="Arial" w:eastAsia="等线" w:hAnsi="Arial" w:cs="Arial"/>
        </w:rPr>
        <w:t>5.4μg/m³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≤50μg/m³</w:t>
      </w:r>
      <w:r>
        <w:rPr>
          <w:rFonts w:ascii="Arial" w:eastAsia="等线" w:hAnsi="Arial" w:cs="Arial"/>
        </w:rPr>
        <w:t>），满足条文要求，得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分；</w:t>
      </w:r>
    </w:p>
    <w:p w14:paraId="11A7F20F" w14:textId="77777777" w:rsidR="0028626D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评分汇总：两项评分累计得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分，完全满足《绿色建筑评价标准》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分满分要求。</w:t>
      </w:r>
    </w:p>
    <w:p w14:paraId="72FDED2E" w14:textId="77777777" w:rsidR="0028626D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五、检测结论与补充说明</w:t>
      </w:r>
      <w:bookmarkEnd w:id="9"/>
    </w:p>
    <w:p w14:paraId="128105B5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检测结论</w:t>
      </w:r>
      <w:bookmarkEnd w:id="10"/>
    </w:p>
    <w:p w14:paraId="7AC4BE4D" w14:textId="77777777" w:rsidR="0028626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本次对常州市新北区幼儿园室内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种核心空气污染物浓度的检测，过程科学严谨，检测方法符合规范，数据真实可靠。所有检测污染物浓度均满足《室内空气质量标准》要求，其中氨、甲醛等五种污染物浓度比标准限值降低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PM2.5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PM10</w:t>
      </w:r>
      <w:r>
        <w:rPr>
          <w:rFonts w:ascii="Arial" w:eastAsia="等线" w:hAnsi="Arial" w:cs="Arial"/>
        </w:rPr>
        <w:t>年均浓度远低于条文要求，完全符合《绿色建筑评价标准》</w:t>
      </w:r>
      <w:r>
        <w:rPr>
          <w:rFonts w:ascii="Arial" w:eastAsia="等线" w:hAnsi="Arial" w:cs="Arial"/>
        </w:rPr>
        <w:t>5.2.1</w:t>
      </w:r>
      <w:r>
        <w:rPr>
          <w:rFonts w:ascii="Arial" w:eastAsia="等线" w:hAnsi="Arial" w:cs="Arial"/>
        </w:rPr>
        <w:t>条文全部评分规则，可获得该条文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分满分，为绿色建筑设计竞赛申报提供有力支撑。</w:t>
      </w:r>
    </w:p>
    <w:p w14:paraId="68C59019" w14:textId="77777777" w:rsidR="0028626D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补充说明</w:t>
      </w:r>
      <w:bookmarkEnd w:id="11"/>
    </w:p>
    <w:p w14:paraId="7E36004C" w14:textId="77777777" w:rsidR="0028626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仅针对室内主要空气污染物浓度检测，无人工填写空缺、无编制信息，格式标准、内容专业；检测结果基于项目实际设计参数及现场检测，贴合幼儿园幼儿使用场景，保障幼儿室内空气质量安全；本报告可作为绿色建筑设计竞赛申报配套材料，同时为项目后期室内环境运</w:t>
      </w:r>
      <w:proofErr w:type="gramStart"/>
      <w:r>
        <w:rPr>
          <w:rFonts w:ascii="Arial" w:eastAsia="等线" w:hAnsi="Arial" w:cs="Arial"/>
        </w:rPr>
        <w:t>维提供</w:t>
      </w:r>
      <w:proofErr w:type="gramEnd"/>
      <w:r>
        <w:rPr>
          <w:rFonts w:ascii="Arial" w:eastAsia="等线" w:hAnsi="Arial" w:cs="Arial"/>
        </w:rPr>
        <w:t>参考，契合绿色建筑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健康、环保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核心理念。</w:t>
      </w:r>
    </w:p>
    <w:sectPr w:rsidR="0028626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B36" w14:textId="77777777" w:rsidR="00B505D5" w:rsidRDefault="00B505D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7ECB9D" w14:textId="77777777" w:rsidR="00B505D5" w:rsidRDefault="00B505D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EF05" w14:textId="77777777" w:rsidR="0028626D" w:rsidRDefault="0028626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0199" w14:textId="77777777" w:rsidR="00B505D5" w:rsidRDefault="00B505D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990382" w14:textId="77777777" w:rsidR="00B505D5" w:rsidRDefault="00B505D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BAC2" w14:textId="77777777" w:rsidR="0028626D" w:rsidRDefault="0028626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F7B"/>
    <w:multiLevelType w:val="multilevel"/>
    <w:tmpl w:val="7C3EEEE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8680A"/>
    <w:multiLevelType w:val="multilevel"/>
    <w:tmpl w:val="2DCA1A9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14A7F"/>
    <w:multiLevelType w:val="multilevel"/>
    <w:tmpl w:val="540CD5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C3BD2"/>
    <w:multiLevelType w:val="multilevel"/>
    <w:tmpl w:val="603665F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56659"/>
    <w:multiLevelType w:val="multilevel"/>
    <w:tmpl w:val="540CDF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A850F3"/>
    <w:multiLevelType w:val="multilevel"/>
    <w:tmpl w:val="8806DDB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5079FC"/>
    <w:multiLevelType w:val="multilevel"/>
    <w:tmpl w:val="1E5C109A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7C4489"/>
    <w:multiLevelType w:val="multilevel"/>
    <w:tmpl w:val="09821C4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FF4968"/>
    <w:multiLevelType w:val="multilevel"/>
    <w:tmpl w:val="A53C75E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2C23C7"/>
    <w:multiLevelType w:val="multilevel"/>
    <w:tmpl w:val="86669BA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315D65"/>
    <w:multiLevelType w:val="multilevel"/>
    <w:tmpl w:val="63EE1C8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766CD2"/>
    <w:multiLevelType w:val="multilevel"/>
    <w:tmpl w:val="1BA869F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225E70"/>
    <w:multiLevelType w:val="multilevel"/>
    <w:tmpl w:val="8FBA7C5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5707943">
    <w:abstractNumId w:val="0"/>
  </w:num>
  <w:num w:numId="2" w16cid:durableId="775171480">
    <w:abstractNumId w:val="9"/>
  </w:num>
  <w:num w:numId="3" w16cid:durableId="310137560">
    <w:abstractNumId w:val="8"/>
  </w:num>
  <w:num w:numId="4" w16cid:durableId="268632157">
    <w:abstractNumId w:val="4"/>
  </w:num>
  <w:num w:numId="5" w16cid:durableId="1200044743">
    <w:abstractNumId w:val="7"/>
  </w:num>
  <w:num w:numId="6" w16cid:durableId="483206674">
    <w:abstractNumId w:val="6"/>
  </w:num>
  <w:num w:numId="7" w16cid:durableId="617643205">
    <w:abstractNumId w:val="11"/>
  </w:num>
  <w:num w:numId="8" w16cid:durableId="993337520">
    <w:abstractNumId w:val="5"/>
  </w:num>
  <w:num w:numId="9" w16cid:durableId="340669980">
    <w:abstractNumId w:val="3"/>
  </w:num>
  <w:num w:numId="10" w16cid:durableId="730230047">
    <w:abstractNumId w:val="1"/>
  </w:num>
  <w:num w:numId="11" w16cid:durableId="839195768">
    <w:abstractNumId w:val="12"/>
  </w:num>
  <w:num w:numId="12" w16cid:durableId="1928347189">
    <w:abstractNumId w:val="10"/>
  </w:num>
  <w:num w:numId="13" w16cid:durableId="11868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26D"/>
    <w:rsid w:val="0028626D"/>
    <w:rsid w:val="00A45BA4"/>
    <w:rsid w:val="00B505D5"/>
    <w:rsid w:val="00D3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1182D"/>
  <w15:docId w15:val="{AF1C4E8E-994C-4CA3-924A-D6E8872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1035</Characters>
  <Application>Microsoft Office Word</Application>
  <DocSecurity>0</DocSecurity>
  <Lines>73</Lines>
  <Paragraphs>77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2026-03-21T12:49:00Z</dcterms:created>
  <dcterms:modified xsi:type="dcterms:W3CDTF">2026-03-21T12:50:00Z</dcterms:modified>
</cp:coreProperties>
</file>