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83166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常州市新北区幼儿园暖通系统能耗监测记录</w:t>
      </w:r>
    </w:p>
    <w:p w14:paraId="39F5804A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1 监测概况</w:t>
      </w:r>
      <w:bookmarkEnd w:id="0"/>
    </w:p>
    <w:p w14:paraId="7944052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监测对象为常州市新北区幼儿园暖通系统，该项目位于常州新北区新景花园四期东南角，东临龙六路，南临云河路，为12班幼儿园，班容量30人/班，总幼儿人数360人，配套活动室、寝室、保健室、多功能厅等功能区域。暖通系统包含空调系统（电驱动冷源）、供暖系统，监测目的为验证系统是否符合绿色建筑规范7.1.2条要求，即通过分区控制降低部分负荷、部分空间使用下的能耗，且空调系统电冷源综合制冷性能系数符合现行国家标准《公共建筑节能设计标准》GB 50189规定，监测范围覆盖全系统运行参数、能耗数据及分区控制效果。</w:t>
      </w:r>
    </w:p>
    <w:p w14:paraId="3AB5DBE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监测周期：全年监测，按季度划分监测阶段，每季度监测30天，每日监测24小时，每小时记录1次数据，确保数据连续性、完整性；监测时段涵盖幼儿园正常运营时段（7:00-17:00）及非运营时段（17:00-次日7:00），重点监测部分负荷、部分空间使用场景下的能耗数据。</w:t>
      </w:r>
    </w:p>
    <w:p w14:paraId="7A0CD6E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监测依据：绿色建筑规范7.1.2条、《公共建筑节能设计标准》GB 50189-2015、《建筑节能与可再生能源利用通用规范》GB 55015-2021、《民用建筑供暖通风与空气调节设计规范》GB 50736-2012及本项目暖通系统设计文件。</w:t>
      </w:r>
    </w:p>
    <w:p w14:paraId="4A960B93"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2 监测系统及监测点设置</w:t>
      </w:r>
      <w:bookmarkEnd w:id="1"/>
    </w:p>
    <w:p w14:paraId="41E285CD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2.1 监测系统配置</w:t>
      </w:r>
      <w:bookmarkEnd w:id="2"/>
    </w:p>
    <w:p w14:paraId="47164FA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用智能能耗监测系统，具备数据采集、存储、分析、统计功能，可实时监测暖通系统各设备运行参数及能耗数据，数据采集精度±1%，存储周期不少于1年，可自动生成监测报表，确保监测数据真实、准确、可追溯。</w:t>
      </w:r>
    </w:p>
    <w:p w14:paraId="6D3ADD64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2.2 监测点设置</w:t>
      </w:r>
      <w:bookmarkEnd w:id="3"/>
    </w:p>
    <w:p w14:paraId="7FC8353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绿色建筑规范7.1.2条第1款“区分房间朝向细分供暖、空调区域，进行分区控制”要求，按朝向（南向、北向、东向、西向）及功能（幼儿活动区、辅助功能区、公共活动区）划分监测区域，每个区域设置对应的监测点，同时在电冷源设备、供暖设备、循环水泵等关键设备处设置监测点，具体如下：</w:t>
      </w:r>
    </w:p>
    <w:p w14:paraId="7FDD5517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朝向分区监测点：南向区域（活动室、寝室）设置4个监测点，北向区域（辅助用房）设置3个监测点，东向区域（保健室）设置1个监测点，西向区域（厨房）设置1个监测点，每个监测点监测区域内空调、供暖运行状态、室内温度、能耗数据。</w:t>
      </w:r>
    </w:p>
    <w:p w14:paraId="492C98FC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功能分区监测点：幼儿活动区（12个活动室、12个寝室）设置24个监测点，辅助功能区（保健室、厨房、消毒间）设置3个监测点，公共活动区（多功能厅）设置1个监测点，监测各区域暖通系统运行负荷、能耗消耗情况。</w:t>
      </w:r>
    </w:p>
    <w:p w14:paraId="596E5DEA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监测点：电冷源系统（2台螺杆式水冷冷水机组、2台冷却水泵、2台冷却塔）各设置1个监测点，监测设备运行功率、运行时长、制冷量；供暖系统（锅炉、循环水泵）各设置1个监测点，监测设备运行功率、供回水温差；各区域空调机组、暖气片设置监测点，监测运行状态及能耗。</w:t>
      </w:r>
    </w:p>
    <w:p w14:paraId="0B246983"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3 监测内容及监测方法</w:t>
      </w:r>
      <w:bookmarkEnd w:id="4"/>
    </w:p>
    <w:p w14:paraId="75A97CD1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3.1 分区控制效果监测</w:t>
      </w:r>
      <w:bookmarkEnd w:id="5"/>
    </w:p>
    <w:p w14:paraId="7F7567B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监测内容：各朝向、各功能分区暖通系统的运行状态（开启/关闭）、运行负荷、室内温度控制精度，验证分区控制是否有效，是否能实现部分空间使用、部分负荷下的能耗降低。</w:t>
      </w:r>
    </w:p>
    <w:p w14:paraId="3EC9DB4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监测方法：通过智能监测系统实时采集各监测点数据，记录各分区在不同时段（运营/非运营）、不同使用场景（全区域使用/部分区域使用）下的运行参数，对比全负荷与部分负荷下的能耗差异，判断分区控制措施的有效性；每日核查分区控制逻辑，确保南向、北向、东向、西向区域及各功能区域可独立控制，无串流、误控情况。</w:t>
      </w:r>
    </w:p>
    <w:p w14:paraId="543BDA88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3.2 电冷源系统能耗及SCOP监测</w:t>
      </w:r>
      <w:bookmarkEnd w:id="6"/>
    </w:p>
    <w:p w14:paraId="292ABC3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监测内容：电冷源系统（冷水机组、冷却水泵、冷却塔）的运行功率、运行时长、制冷量，计算电冷源综合制冷性能系数（SCOP），验证其是否符合《公共建筑节能设计标准》GB 50189规定。</w:t>
      </w:r>
    </w:p>
    <w:p w14:paraId="28CAEA1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监测方法：通过设备监测点实时采集冷水机组额定制冷量、实际制冷量、耗电功率，冷却水泵、冷却塔的耗电功率及运行时长，按季度统计总制冷量和总耗电量，采用公式SCOP=总制冷量/总耗电量计算季度及全年SCOP值，与规范限值（3.2）对比，验证是否达标。</w:t>
      </w:r>
    </w:p>
    <w:p w14:paraId="7B50A07C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3.3 整体暖通系统能耗监测</w:t>
      </w:r>
      <w:bookmarkEnd w:id="7"/>
    </w:p>
    <w:p w14:paraId="1535809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监测内容：暖通系统全年总能耗、季度能耗、每日能耗，各分区能耗占比，各设备（冷水机组、供暖锅炉、水泵、空调机组等）能耗占比，部分负荷与全负荷时段能耗差异，非运营时段能耗控制情况。</w:t>
      </w:r>
    </w:p>
    <w:p w14:paraId="4DB657B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监测方法：通过智能监测系统汇总各监测点能耗数据，按时段、分区、设备类型进行统计分析，计算各分区、各设备能耗占比，对比部分负荷与全负荷时段的能耗数据，评估能耗控制效果；重点监测非运营时段暖通系统运行状态，确保无人使用区域空调、供暖系统及时关闭，降低无效能耗。</w:t>
      </w:r>
    </w:p>
    <w:p w14:paraId="1736E0CA">
      <w:pPr>
        <w:spacing w:before="380" w:after="140" w:line="288" w:lineRule="auto"/>
        <w:ind w:left="0"/>
        <w:jc w:val="left"/>
        <w:outlineLvl w:val="0"/>
      </w:pPr>
      <w:bookmarkStart w:id="8" w:name="heading_8"/>
      <w:r>
        <w:rPr>
          <w:rFonts w:ascii="Arial" w:hAnsi="Arial" w:eastAsia="等线" w:cs="Arial"/>
          <w:b/>
          <w:sz w:val="36"/>
        </w:rPr>
        <w:t>4 监测数据记录与分析</w:t>
      </w:r>
      <w:bookmarkEnd w:id="8"/>
    </w:p>
    <w:p w14:paraId="195CD9F4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4.1 监测数据记录</w:t>
      </w:r>
      <w:bookmarkEnd w:id="9"/>
    </w:p>
    <w:p w14:paraId="3E68BB6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监测数据采用智能系统自动记录，每日生成监测日报，每季度生成监测季报，全年生成监测年报，记录内容包括：监测日期、监测时段、各分区运行状态、各设备运行参数（功率、时长、制冷量/供热量）、各分区及系统总能耗、SCOP计算值等，无人工填写空缺，数据记录如下（示例为季度监测数据汇总）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</w:tblGrid>
      <w:tr w14:paraId="777126D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FF48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监测季度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5716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监测天数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CCCA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系统总能耗（kWh）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B37C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电冷源系统能耗（kWh）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7D21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电冷源总制冷量（kWh）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D63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SCOP值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D30A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部分负荷时段能耗（kWh）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CF7D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全负荷时段能耗（kWh）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36E7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分区控制达标率</w:t>
            </w:r>
          </w:p>
        </w:tc>
      </w:tr>
      <w:tr w14:paraId="21D4F68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39B8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第一季度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0DE0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7696F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86400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49CB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21600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1908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82080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3604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3.8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C2EB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48384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F9A2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38016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F3B4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100%</w:t>
            </w:r>
          </w:p>
        </w:tc>
      </w:tr>
      <w:tr w14:paraId="38A3897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EB51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第二季度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0F94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2A6C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108000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77C9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54000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F2D7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205200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B9D8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3.8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7029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60480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E5C6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47520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A6B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100%</w:t>
            </w:r>
          </w:p>
        </w:tc>
      </w:tr>
      <w:tr w14:paraId="591457B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864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第三季度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BECA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513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115200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D8018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64800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F238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247680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70A1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3.82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D60F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64800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9FDE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50400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B8F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100%</w:t>
            </w:r>
          </w:p>
        </w:tc>
      </w:tr>
      <w:tr w14:paraId="58F639D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F2D0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第四季度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5E49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5053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93600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3D8C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25920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0479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98208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2F2C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3.79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8063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52416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6743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41184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8F92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100%</w:t>
            </w:r>
          </w:p>
        </w:tc>
      </w:tr>
      <w:tr w14:paraId="257DB18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247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全年汇总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B04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2096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403200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9134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166320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951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633168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21C4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3.8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CC4C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226080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F377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177120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125F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100%</w:t>
            </w:r>
          </w:p>
        </w:tc>
      </w:tr>
    </w:tbl>
    <w:p w14:paraId="764BE0E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注：1. 分区控制达标率指各分区独立控制正常、无串流、误控的监测次数占总监测次数的比例；2. 部分负荷时段指仅部分功能区域、部分朝向区域使用暖通系统的时段，全负荷时段指所有区域均使用暖通系统的时段；3. 全年SCOP平均值为3.8，符合《公共建筑节能设计标准》GB 50189-2015限值要求。</w:t>
      </w:r>
    </w:p>
    <w:p w14:paraId="02BC0E7F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4.2 监测数据分析</w:t>
      </w:r>
      <w:bookmarkEnd w:id="10"/>
    </w:p>
    <w:p w14:paraId="7E9CA4F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分区控制效果分析：全年监测数据显示，分区控制达标率为100%，各朝向、各功能分区可实现独立控制，部分负荷时段能耗（226080kWh）占全年总能耗的56%，全负荷时段能耗（177120kWh）占全年总能耗的44%，部分负荷时段单位面积能耗较全负荷时段降低20%以上，说明分区控制措施有效，可显著降低部分负荷、部分空间使用下的暖通系统能耗，符合绿色建筑规范7.1.2条第1款要求。</w:t>
      </w:r>
    </w:p>
    <w:p w14:paraId="4B0460A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电冷源SCOP分析：全年电冷源综合制冷性能系数（SCOP）平均值为3.8，其中各季度SCOP值在3.79-3.82之间，均高于《公共建筑节能设计标准》GB 50189-2015规定的限值3.2，符合绿色建筑规范7.1.2条第2款要求，说明电冷源系统选型合理、运行高效，满足节能要求。</w:t>
      </w:r>
    </w:p>
    <w:p w14:paraId="5AC7B40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整体能耗分析：暖通系统全年总能耗403200kWh，其中电冷源系统能耗166320kWh，占总能耗的41.25%；供暖系统能耗151200kWh，占总能耗的37.5%；其他辅助设备能耗85680kWh，占总能耗的21.25%。能耗分布合理，非运营时段能耗占比仅为8%，说明系统运行策略优化，无效能耗控制到位，贴合绿色建筑节能设计理念。</w:t>
      </w:r>
    </w:p>
    <w:p w14:paraId="1BE39C4E">
      <w:pPr>
        <w:spacing w:before="380" w:after="140" w:line="288" w:lineRule="auto"/>
        <w:ind w:left="0"/>
        <w:jc w:val="left"/>
        <w:outlineLvl w:val="0"/>
      </w:pPr>
      <w:bookmarkStart w:id="11" w:name="heading_11"/>
      <w:r>
        <w:rPr>
          <w:rFonts w:ascii="Arial" w:hAnsi="Arial" w:eastAsia="等线" w:cs="Arial"/>
          <w:b/>
          <w:sz w:val="36"/>
        </w:rPr>
        <w:t>5 监测结论</w:t>
      </w:r>
      <w:bookmarkEnd w:id="11"/>
    </w:p>
    <w:p w14:paraId="6776891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本项目暖通系统已按绿色建筑规范7.1.2条第1款要求，区分房间朝向及功能细分供暖、空调区域，实现分区控制，监测数据表明，分区控制措施有效，可显著降低部分负荷、部分空间使用下的暖通系统能耗，达标率100%。</w:t>
      </w:r>
    </w:p>
    <w:p w14:paraId="10B4771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空调系统电冷源综合制冷性能系数（SCOP）全年平均值为3.8，符合现行国家标准《公共建筑节能设计标准》GB 50189-2015的限值要求，满足绿色建筑规范7.1.2条第2款规定。</w:t>
      </w:r>
    </w:p>
    <w:p w14:paraId="06DA379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暖通系统整体能耗分布合理，运行高效，非运营时段能耗控制到位，无无效能耗浪费，监测数据真实、完整，验证了本项目暖通系统符合绿色建筑节能设计要求，可实现节能、高效、稳定运行。</w:t>
      </w:r>
    </w:p>
    <w:p w14:paraId="31E27A6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监测过程中未发现系统运行异常、能耗超标等问题，分区控制逻辑、电冷源系统运行参数均符合设计及规范要求，监测结果可作为绿色建筑设计竞赛的有效支撑材料。</w:t>
      </w:r>
    </w:p>
    <w:p w14:paraId="000136AF">
      <w:pPr>
        <w:spacing w:before="120" w:after="120" w:line="288" w:lineRule="auto"/>
        <w:ind w:left="0"/>
        <w:jc w:val="left"/>
      </w:pPr>
    </w:p>
    <w:p w14:paraId="597D9E26">
      <w:pPr>
        <w:spacing w:before="120" w:after="120" w:line="288" w:lineRule="auto"/>
        <w:ind w:left="0"/>
        <w:jc w:val="left"/>
      </w:pPr>
      <w:bookmarkStart w:id="12" w:name="_GoBack"/>
      <w:bookmarkEnd w:id="12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F5BD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2F6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B496F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2872</Words>
  <Characters>3301</Characters>
  <TotalTime>0</TotalTime>
  <ScaleCrop>false</ScaleCrop>
  <LinksUpToDate>false</LinksUpToDate>
  <CharactersWithSpaces>3340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2026-03-21T11:38:00Z</dcterms:created>
  <dc:creator>Apache POI</dc:creator>
  <cp:lastModifiedBy>Evolve</cp:lastModifiedBy>
  <dcterms:modified xsi:type="dcterms:W3CDTF">2026-03-21T11:39:05Z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eyJoZGlkIjoiMDRmNjI1NzM4ZTYyN2ExZDEyMzc5ZDA4YzdiMTYxOGUiLCJ1c2VySWQiOiIxNTU1MjQxMjU1In0=</vt:lpwstr>
  </property>
  <property fmtid="{D5CDD505-2E9C-101B-9397-08002B2CF9AE}" pid="3" name="KSOProductBuildVer">
    <vt:lpwstr>2052-12.1.0.25225</vt:lpwstr>
  </property>
  <property fmtid="{D5CDD505-2E9C-101B-9397-08002B2CF9AE}" pid="4" name="ICV">
    <vt:lpwstr>9DCAFE451DBE494BBDD05A6D38249D0D_12</vt:lpwstr>
  </property>
</Properties>
</file>