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5B97" w14:textId="77777777" w:rsidR="001B13BA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常州市新北区幼儿园用水量远传计量及水质在线监测运行记录</w:t>
      </w:r>
    </w:p>
    <w:p w14:paraId="6CE8716A" w14:textId="77777777" w:rsidR="001B13BA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一、基本信息</w:t>
      </w:r>
      <w:bookmarkEnd w:id="0"/>
    </w:p>
    <w:p w14:paraId="2C53ED3D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2AC10F35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4B713A1F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</w:t>
      </w:r>
    </w:p>
    <w:p w14:paraId="51CF973E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记录对象：用水量远传计量系统、水质在线监测系统（含配套远传水表、水质监测终端及数据传输设备）</w:t>
      </w:r>
    </w:p>
    <w:p w14:paraId="23EA1984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记录周期：每日记录、每月汇总，年度归档</w:t>
      </w:r>
    </w:p>
    <w:p w14:paraId="66E19752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记录目的：规范记录两大系统日常运行状态、数据参数，佐证系统稳定运行，契合绿色建筑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条文要求，为绿色建筑设计竞赛提供合规运行支撑，同时保障用水计量精准、用水安全。</w:t>
      </w:r>
    </w:p>
    <w:p w14:paraId="777711BB" w14:textId="77777777" w:rsidR="001B13BA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二、记录依据</w:t>
      </w:r>
      <w:bookmarkEnd w:id="1"/>
    </w:p>
    <w:p w14:paraId="2DF0372F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6.2.8 </w:t>
      </w:r>
      <w:r>
        <w:rPr>
          <w:rFonts w:ascii="Arial" w:eastAsia="等线" w:hAnsi="Arial" w:cs="Arial"/>
        </w:rPr>
        <w:t>设置用水远传计量系统、水质在线监测系统要求）；</w:t>
      </w:r>
    </w:p>
    <w:p w14:paraId="7381D07A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《民用建筑节水设计标准》</w:t>
      </w:r>
      <w:r>
        <w:rPr>
          <w:rFonts w:ascii="Arial" w:eastAsia="等线" w:hAnsi="Arial" w:cs="Arial"/>
        </w:rPr>
        <w:t>GB 50555-2010</w:t>
      </w:r>
      <w:r>
        <w:rPr>
          <w:rFonts w:ascii="Arial" w:eastAsia="等线" w:hAnsi="Arial" w:cs="Arial"/>
        </w:rPr>
        <w:t>；</w:t>
      </w:r>
    </w:p>
    <w:p w14:paraId="5627C052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远传计量系统、水质在线监测系统设备说明书及运行规范；</w:t>
      </w:r>
    </w:p>
    <w:p w14:paraId="4E09E820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项目给排水设计方案、用水安全管理要求；</w:t>
      </w:r>
    </w:p>
    <w:p w14:paraId="6D1AE166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年版）、绿色建筑设计竞赛评分导向。</w:t>
      </w:r>
    </w:p>
    <w:p w14:paraId="3B45F4B9" w14:textId="77777777" w:rsidR="001B13BA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三、用水量远传计量系统运行记录</w:t>
      </w:r>
      <w:bookmarkEnd w:id="2"/>
    </w:p>
    <w:p w14:paraId="05CA41FD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本系统运行记录聚焦分类、分级计量数据及系统运行状态，贴合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款要求，每日记录、每月汇总，具体如下：</w:t>
      </w:r>
    </w:p>
    <w:p w14:paraId="3B524626" w14:textId="77777777" w:rsidR="001B13BA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（一）每日运行状态记录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350"/>
        <w:gridCol w:w="1350"/>
        <w:gridCol w:w="1080"/>
        <w:gridCol w:w="1620"/>
        <w:gridCol w:w="1800"/>
      </w:tblGrid>
      <w:tr w:rsidR="001B13BA" w14:paraId="2CD37154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5A0555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记录日期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B6C70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系统运行状态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CBE75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远传传输状态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7E373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漏损预警情况</w:t>
            </w:r>
          </w:p>
        </w:tc>
        <w:tc>
          <w:tcPr>
            <w:tcW w:w="1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DBEF7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运维人员及签字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4043C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1B13BA" w14:paraId="1A12F369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AF5CFC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XXXX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F1599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正常（无故障）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C778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传输稳定，无中断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36EC8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无预警</w:t>
            </w:r>
          </w:p>
        </w:tc>
        <w:tc>
          <w:tcPr>
            <w:tcW w:w="1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DD396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AEEAB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当日用水平稳，无异常</w:t>
            </w:r>
          </w:p>
        </w:tc>
      </w:tr>
      <w:tr w:rsidR="001B13BA" w14:paraId="39F47988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0BC17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XXXX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C99FD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正常（无故障）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C84BC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传输稳定，无中断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CE3A8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无预警</w:t>
            </w:r>
          </w:p>
        </w:tc>
        <w:tc>
          <w:tcPr>
            <w:tcW w:w="16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6892E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9B228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绿化灌溉用水略有增加</w:t>
            </w:r>
          </w:p>
        </w:tc>
      </w:tr>
    </w:tbl>
    <w:p w14:paraId="72E71771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说明：系统运行状态分为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正常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故障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检修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，故障及检修需在备注中注明具体情况及处理结果；漏损预警需记录预警位置、处理措施及整改结果。</w:t>
      </w:r>
    </w:p>
    <w:p w14:paraId="267B3D5E" w14:textId="77777777" w:rsidR="001B13BA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（二）每月分类、分级用水量汇总记录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0"/>
        <w:gridCol w:w="1425"/>
        <w:gridCol w:w="1425"/>
        <w:gridCol w:w="1425"/>
        <w:gridCol w:w="1140"/>
        <w:gridCol w:w="1710"/>
      </w:tblGrid>
      <w:tr w:rsidR="001B13BA" w14:paraId="2403E51F" w14:textId="77777777">
        <w:tblPrEx>
          <w:tblCellMar>
            <w:top w:w="0" w:type="dxa"/>
            <w:bottom w:w="0" w:type="dxa"/>
          </w:tblCellMar>
        </w:tblPrEx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E079A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汇总月份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69196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BFDE2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分类用水量（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7B180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分区用水量（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152A4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管网漏损率（</w:t>
            </w:r>
            <w:r>
              <w:rPr>
                <w:rFonts w:ascii="Arial" w:eastAsia="等线" w:hAnsi="Arial" w:cs="Arial"/>
              </w:rPr>
              <w:t>%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7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C40F0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汇总人及签字</w:t>
            </w:r>
          </w:p>
        </w:tc>
      </w:tr>
      <w:tr w:rsidR="001B13BA" w14:paraId="6024E70A" w14:textId="77777777">
        <w:tblPrEx>
          <w:tblCellMar>
            <w:top w:w="0" w:type="dxa"/>
            <w:bottom w:w="0" w:type="dxa"/>
          </w:tblCellMar>
        </w:tblPrEx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99700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XXXX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2B272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135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471EB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</w:t>
            </w:r>
            <w:r>
              <w:rPr>
                <w:rFonts w:ascii="Arial" w:eastAsia="等线" w:hAnsi="Arial" w:cs="Arial"/>
              </w:rPr>
              <w:t>35</w:t>
            </w:r>
            <w:r>
              <w:rPr>
                <w:rFonts w:ascii="Arial" w:eastAsia="等线" w:hAnsi="Arial" w:cs="Arial"/>
              </w:rPr>
              <w:t>、冲厕</w:t>
            </w:r>
            <w:r>
              <w:rPr>
                <w:rFonts w:ascii="Arial" w:eastAsia="等线" w:hAnsi="Arial" w:cs="Arial"/>
              </w:rPr>
              <w:t>40</w:t>
            </w:r>
            <w:r>
              <w:rPr>
                <w:rFonts w:ascii="Arial" w:eastAsia="等线" w:hAnsi="Arial" w:cs="Arial"/>
              </w:rPr>
              <w:t>、冷却水</w:t>
            </w:r>
            <w:r>
              <w:rPr>
                <w:rFonts w:ascii="Arial" w:eastAsia="等线" w:hAnsi="Arial" w:cs="Arial"/>
              </w:rPr>
              <w:t>15</w:t>
            </w:r>
            <w:r>
              <w:rPr>
                <w:rFonts w:ascii="Arial" w:eastAsia="等线" w:hAnsi="Arial" w:cs="Arial"/>
              </w:rPr>
              <w:t>、生活</w:t>
            </w:r>
            <w:r>
              <w:rPr>
                <w:rFonts w:ascii="Arial" w:eastAsia="等线" w:hAnsi="Arial" w:cs="Arial"/>
              </w:rPr>
              <w:t>45</w:t>
            </w:r>
          </w:p>
        </w:tc>
        <w:tc>
          <w:tcPr>
            <w:tcW w:w="14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3082E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教学区</w:t>
            </w:r>
            <w:r>
              <w:rPr>
                <w:rFonts w:ascii="Arial" w:eastAsia="等线" w:hAnsi="Arial" w:cs="Arial"/>
              </w:rPr>
              <w:t>60</w:t>
            </w:r>
            <w:r>
              <w:rPr>
                <w:rFonts w:ascii="Arial" w:eastAsia="等线" w:hAnsi="Arial" w:cs="Arial"/>
              </w:rPr>
              <w:t>、厨房</w:t>
            </w:r>
            <w:r>
              <w:rPr>
                <w:rFonts w:ascii="Arial" w:eastAsia="等线" w:hAnsi="Arial" w:cs="Arial"/>
              </w:rPr>
              <w:t>40</w:t>
            </w:r>
            <w:r>
              <w:rPr>
                <w:rFonts w:ascii="Arial" w:eastAsia="等线" w:hAnsi="Arial" w:cs="Arial"/>
              </w:rPr>
              <w:t>、绿化区</w:t>
            </w:r>
            <w:r>
              <w:rPr>
                <w:rFonts w:ascii="Arial" w:eastAsia="等线" w:hAnsi="Arial" w:cs="Arial"/>
              </w:rPr>
              <w:t>35</w:t>
            </w:r>
          </w:p>
        </w:tc>
        <w:tc>
          <w:tcPr>
            <w:tcW w:w="11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DB54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4.2</w:t>
            </w:r>
          </w:p>
        </w:tc>
        <w:tc>
          <w:tcPr>
            <w:tcW w:w="17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1876B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</w:t>
            </w:r>
          </w:p>
        </w:tc>
      </w:tr>
    </w:tbl>
    <w:p w14:paraId="02C05C4E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说明：每月漏损率按系统自动测算结果记录，始终控制在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以下，契合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款要求；分类、分级用水量由远传系统自动统计生成，可追溯、可核查。</w:t>
      </w:r>
    </w:p>
    <w:p w14:paraId="28A1BE81" w14:textId="77777777" w:rsidR="001B13BA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四、水质在线监测系统运行记录</w:t>
      </w:r>
      <w:bookmarkEnd w:id="5"/>
    </w:p>
    <w:p w14:paraId="60162E1C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本系统运行记录聚焦各用水类型监测数据、系统运行状态，贴合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款要求，每日记录核心指标，每月汇总，具体如下：</w:t>
      </w:r>
    </w:p>
    <w:p w14:paraId="4DF3D172" w14:textId="77777777" w:rsidR="001B13BA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（一）每日水质监测数据记录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485"/>
        <w:gridCol w:w="1485"/>
        <w:gridCol w:w="1185"/>
        <w:gridCol w:w="1185"/>
        <w:gridCol w:w="1770"/>
      </w:tblGrid>
      <w:tr w:rsidR="001B13BA" w14:paraId="493194B4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6E41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记录日期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A4DB6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监测类型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3E76D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核心监测指标及数值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23629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监测状态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49C95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预警情况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7EA3B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运维人员及签字</w:t>
            </w:r>
          </w:p>
        </w:tc>
      </w:tr>
      <w:tr w:rsidR="001B13BA" w14:paraId="6960A34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28AD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XXXX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lastRenderedPageBreak/>
              <w:t>日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63971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生活饮用水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6993D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pH=7.2</w:t>
            </w:r>
            <w:r>
              <w:rPr>
                <w:rFonts w:ascii="Arial" w:eastAsia="等线" w:hAnsi="Arial" w:cs="Arial"/>
              </w:rPr>
              <w:t>、浊度</w:t>
            </w:r>
            <w:r>
              <w:rPr>
                <w:rFonts w:ascii="Arial" w:eastAsia="等线" w:hAnsi="Arial" w:cs="Arial"/>
              </w:rPr>
              <w:lastRenderedPageBreak/>
              <w:t>=0.3NTU</w:t>
            </w:r>
            <w:r>
              <w:rPr>
                <w:rFonts w:ascii="Arial" w:eastAsia="等线" w:hAnsi="Arial" w:cs="Arial"/>
              </w:rPr>
              <w:t>、余氯</w:t>
            </w:r>
            <w:r>
              <w:rPr>
                <w:rFonts w:ascii="Arial" w:eastAsia="等线" w:hAnsi="Arial" w:cs="Arial"/>
              </w:rPr>
              <w:t>=0.5mg/L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1964B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正常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FB2FB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无预警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22B36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</w:t>
            </w:r>
          </w:p>
        </w:tc>
      </w:tr>
      <w:tr w:rsidR="001B13BA" w14:paraId="51782E03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429DE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XXXX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6EC0A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非传统水源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9EC8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浊度</w:t>
            </w:r>
            <w:r>
              <w:rPr>
                <w:rFonts w:ascii="Arial" w:eastAsia="等线" w:hAnsi="Arial" w:cs="Arial"/>
              </w:rPr>
              <w:t>=1.2NTU</w:t>
            </w:r>
            <w:r>
              <w:rPr>
                <w:rFonts w:ascii="Arial" w:eastAsia="等线" w:hAnsi="Arial" w:cs="Arial"/>
              </w:rPr>
              <w:t>、悬浮物</w:t>
            </w:r>
            <w:r>
              <w:rPr>
                <w:rFonts w:ascii="Arial" w:eastAsia="等线" w:hAnsi="Arial" w:cs="Arial"/>
              </w:rPr>
              <w:t>=5mg/L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51B3E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正常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2E593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无预警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E2040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</w:t>
            </w:r>
          </w:p>
        </w:tc>
      </w:tr>
      <w:tr w:rsidR="001B13BA" w14:paraId="7C9379F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9FF30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XXXX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月</w:t>
            </w:r>
            <w:r>
              <w:rPr>
                <w:rFonts w:ascii="Arial" w:eastAsia="等线" w:hAnsi="Arial" w:cs="Arial"/>
              </w:rPr>
              <w:t>XX</w:t>
            </w:r>
            <w:r>
              <w:rPr>
                <w:rFonts w:ascii="Arial" w:eastAsia="等线" w:hAnsi="Arial" w:cs="Arial"/>
              </w:rPr>
              <w:t>日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F7C99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冷却水</w:t>
            </w:r>
          </w:p>
        </w:tc>
        <w:tc>
          <w:tcPr>
            <w:tcW w:w="14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BE135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pH=7.5</w:t>
            </w:r>
            <w:r>
              <w:rPr>
                <w:rFonts w:ascii="Arial" w:eastAsia="等线" w:hAnsi="Arial" w:cs="Arial"/>
              </w:rPr>
              <w:t>、军团菌</w:t>
            </w:r>
            <w:r>
              <w:rPr>
                <w:rFonts w:ascii="Arial" w:eastAsia="等线" w:hAnsi="Arial" w:cs="Arial"/>
              </w:rPr>
              <w:t>=</w:t>
            </w:r>
            <w:r>
              <w:rPr>
                <w:rFonts w:ascii="Arial" w:eastAsia="等线" w:hAnsi="Arial" w:cs="Arial"/>
              </w:rPr>
              <w:t>未检出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B902F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正常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7446D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无预警</w:t>
            </w:r>
          </w:p>
        </w:tc>
        <w:tc>
          <w:tcPr>
            <w:tcW w:w="17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8CBE9" w14:textId="77777777" w:rsidR="001B13BA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XXX</w:t>
            </w:r>
          </w:p>
        </w:tc>
      </w:tr>
    </w:tbl>
    <w:p w14:paraId="40BAEE25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说明：监测指标数值均符合对应水质标准，监测状态分为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正常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异常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，异常情况需记录预警信息、处理措施及整改结果；所有监测数据自动记录保存，保存周期不低于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年，可随时供用户查询。</w:t>
      </w:r>
    </w:p>
    <w:p w14:paraId="5E4ECD31" w14:textId="77777777" w:rsidR="001B13BA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（二）每月监测系统运行汇总</w:t>
      </w:r>
      <w:bookmarkEnd w:id="7"/>
    </w:p>
    <w:p w14:paraId="1022C325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运行状态：本月水质在线监测系统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小时连续运行，无故障、无中断，数据传输稳定，监测精度达标；</w:t>
      </w:r>
    </w:p>
    <w:p w14:paraId="20A51CF6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数据查询：本月监测数据可通过大厅电子屏及后台平台随时查询，符合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随时供用户查询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要求；</w:t>
      </w:r>
    </w:p>
    <w:p w14:paraId="7954DDE2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运维情况：本月完成设备校准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次，清洁维护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次，设备运行状态良好，无异常预警记录。</w:t>
      </w:r>
    </w:p>
    <w:p w14:paraId="47D1231C" w14:textId="77777777" w:rsidR="001B13BA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五、记录说明及符合性分析</w:t>
      </w:r>
      <w:bookmarkEnd w:id="8"/>
    </w:p>
    <w:p w14:paraId="3D3CB453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记录说明：本运行记录数据均来自系统自动采集及人工运维记录，真实、准确、可追溯，记录格式规范，贴合幼儿园管理模式，便于查阅归档；</w:t>
      </w:r>
    </w:p>
    <w:p w14:paraId="5CDEB51C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条文符合性（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）：</w:t>
      </w:r>
    </w:p>
    <w:p w14:paraId="66D6CEA8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用水量远传计量系统运行正常，可分类、分级记录统计用水情况，管网漏损率</w:t>
      </w:r>
      <w:r>
        <w:rPr>
          <w:rFonts w:ascii="Arial" w:eastAsia="等线" w:hAnsi="Arial" w:cs="Arial"/>
        </w:rPr>
        <w:t>4.2%</w:t>
      </w:r>
      <w:r>
        <w:rPr>
          <w:rFonts w:ascii="Arial" w:eastAsia="等线" w:hAnsi="Arial" w:cs="Arial"/>
        </w:rPr>
        <w:t>＜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款要求；</w:t>
      </w:r>
    </w:p>
    <w:p w14:paraId="59C2FAEA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   - </w:t>
      </w:r>
      <w:r>
        <w:rPr>
          <w:rFonts w:ascii="Arial" w:eastAsia="等线" w:hAnsi="Arial" w:cs="Arial"/>
        </w:rPr>
        <w:t>水质在线监测系统运行稳定，完整记录各用水类型水质指标，数据可随时查询，满足条文第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款要求；</w:t>
      </w:r>
    </w:p>
    <w:p w14:paraId="2820D4D3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竞赛适配性：本运行记录可直接作为项目符合</w:t>
      </w:r>
      <w:r>
        <w:rPr>
          <w:rFonts w:ascii="Arial" w:eastAsia="等线" w:hAnsi="Arial" w:cs="Arial"/>
        </w:rPr>
        <w:t>6.2.8</w:t>
      </w:r>
      <w:r>
        <w:rPr>
          <w:rFonts w:ascii="Arial" w:eastAsia="等线" w:hAnsi="Arial" w:cs="Arial"/>
        </w:rPr>
        <w:t>条文的佐证材料，格式专业、重点突出，助力绿色建筑设计竞赛评分达标。</w:t>
      </w:r>
    </w:p>
    <w:p w14:paraId="0E91791F" w14:textId="77777777" w:rsidR="001B13BA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lastRenderedPageBreak/>
        <w:t>六、归档要求</w:t>
      </w:r>
      <w:bookmarkEnd w:id="9"/>
    </w:p>
    <w:p w14:paraId="7DE06543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每日记录由运维人员签字确认，每月汇总后由负责人审核签字；</w:t>
      </w:r>
    </w:p>
    <w:p w14:paraId="2499B4BA" w14:textId="77777777" w:rsidR="001B13BA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记录采用纸质版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电子版双重归档，纸质版装订成册，电子版备份留存；</w:t>
      </w:r>
    </w:p>
    <w:p w14:paraId="02ABC7F7" w14:textId="1B07DC5A" w:rsidR="001B13BA" w:rsidRDefault="001B13BA">
      <w:pPr>
        <w:spacing w:before="120" w:after="120" w:line="288" w:lineRule="auto"/>
        <w:rPr>
          <w:rFonts w:hint="eastAsia"/>
        </w:rPr>
      </w:pPr>
    </w:p>
    <w:sectPr w:rsidR="001B13B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4ED6" w14:textId="77777777" w:rsidR="00DA2F50" w:rsidRDefault="00DA2F5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36C625B" w14:textId="77777777" w:rsidR="00DA2F50" w:rsidRDefault="00DA2F5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3458" w14:textId="77777777" w:rsidR="001B13BA" w:rsidRDefault="001B13B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237D7" w14:textId="77777777" w:rsidR="00DA2F50" w:rsidRDefault="00DA2F5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DD472A" w14:textId="77777777" w:rsidR="00DA2F50" w:rsidRDefault="00DA2F5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A363" w14:textId="77777777" w:rsidR="001B13BA" w:rsidRDefault="001B13B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3BA"/>
    <w:rsid w:val="001B13BA"/>
    <w:rsid w:val="00800DAE"/>
    <w:rsid w:val="00BF6095"/>
    <w:rsid w:val="00DA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EE945"/>
  <w15:docId w15:val="{FC316D34-63A5-49AE-9E0A-B24AC11D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964</Characters>
  <Application>Microsoft Office Word</Application>
  <DocSecurity>0</DocSecurity>
  <Lines>87</Lines>
  <Paragraphs>96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2026-03-22T07:42:00Z</dcterms:created>
  <dcterms:modified xsi:type="dcterms:W3CDTF">2026-03-22T07:47:00Z</dcterms:modified>
</cp:coreProperties>
</file>