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597C" w14:textId="77777777" w:rsidR="009B643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常州市新北区幼儿园人车分流专项设计文件</w:t>
      </w:r>
    </w:p>
    <w:p w14:paraId="6209C190" w14:textId="77777777" w:rsidR="009B6433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一、设计概况</w:t>
      </w:r>
      <w:bookmarkEnd w:id="0"/>
    </w:p>
    <w:p w14:paraId="2B539126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项目基本信息</w:t>
      </w:r>
      <w:bookmarkEnd w:id="1"/>
    </w:p>
    <w:p w14:paraId="3FF41E7E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层（主要用于设备用房及库房）。建筑结构形式采用钢筋混凝土框架结构，耐火等级为一级，设计使用年限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年。本次人车分流专项设计严格遵循《绿色建筑评价标准》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采取人车分流措施，且步行和自行车交通系统有充足照明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要求，结合幼儿园幼儿密集、行动能力较弱的特点，构建安全、有序、便捷的人车分流交通体系，配套完善步行及自行车交通照明系统，确保无人工填写空缺、无编制信息，为绿色建筑设计竞赛申报提供合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的专项设计依据。</w:t>
      </w:r>
    </w:p>
    <w:p w14:paraId="1342B0C0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设计背景与目的</w:t>
      </w:r>
      <w:bookmarkEnd w:id="2"/>
    </w:p>
    <w:p w14:paraId="00837B96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条文明确要求采取人车分流措施，且步行和自行车交通系统有充足照明，评价分值为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分。幼儿园作为幼儿集中活动的特殊场所，幼儿自我保护能力弱、行动敏捷且注意力易分散，校园内车辆通行极易引发安全隐患，因此本次人车分流专项设计核心目的如下：一是严格落实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要求，构建科学合理的人车分流交通系统，实现机动车、非机动车与步行交通完全分离，从源头规避车辆对幼儿及教职工的安全威胁；二是配套完善步行和自行车交通系统的照明设施，确保夜间及光线不足时段通行安全，满足条文全部评价要求；三是结合项目用地位置（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、南临云河路），衔接周边市政交通，兼顾接送便利性与校园安全性，打造适配幼儿园的交通环境；四是出具格式标准、专业规范的专项设计文件，明确设计方案、技术参数及实施细节，证明项目已完全满足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条文要求，可获得该条文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分满分，为绿色建筑设计竞赛申报提供可靠支撑。</w:t>
      </w:r>
    </w:p>
    <w:p w14:paraId="4F28E80F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设计范围与原则</w:t>
      </w:r>
      <w:bookmarkEnd w:id="3"/>
    </w:p>
    <w:p w14:paraId="6F5B54A0" w14:textId="77777777" w:rsidR="009B6433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1.3.1 </w:t>
      </w:r>
      <w:r>
        <w:rPr>
          <w:rFonts w:ascii="Arial" w:eastAsia="等线" w:hAnsi="Arial" w:cs="Arial"/>
          <w:b/>
          <w:sz w:val="30"/>
        </w:rPr>
        <w:t>设计范围</w:t>
      </w:r>
      <w:bookmarkEnd w:id="4"/>
    </w:p>
    <w:p w14:paraId="1DCA66E1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次人车分流专项设计范围涵盖幼儿园整个用地红线内的交通系统，包括机动车通行系统、非机动车停放及通行系统、步行交通系统，以及步行和自行车交通系统的照明设施，具体包括：幼儿园主出入口、次出入口、机动车停车场、非机动车停放区、园内步行道、自行车道、活动场地周边通道及衔接市政道路的过渡区域，确保设计覆盖全园区，无交通死角。</w:t>
      </w:r>
    </w:p>
    <w:p w14:paraId="78D976D0" w14:textId="77777777" w:rsidR="009B6433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 xml:space="preserve">1.3.2 </w:t>
      </w:r>
      <w:r>
        <w:rPr>
          <w:rFonts w:ascii="Arial" w:eastAsia="等线" w:hAnsi="Arial" w:cs="Arial"/>
          <w:b/>
          <w:sz w:val="30"/>
        </w:rPr>
        <w:t>设计原则</w:t>
      </w:r>
      <w:bookmarkEnd w:id="5"/>
    </w:p>
    <w:p w14:paraId="49B008CA" w14:textId="77777777" w:rsidR="009B6433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安全优先原则：以幼儿及教职工人身安全为核心，实现机动车、非机动车与步行交通完全分离，避免车辆进入幼儿活动核心区域，降低安全隐患；</w:t>
      </w:r>
    </w:p>
    <w:p w14:paraId="014E17B6" w14:textId="77777777" w:rsidR="009B6433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性原则：严格遵循《绿色建筑评价标准》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条文及相关规范要求，确保人车分流措施到位、步行和自行车交通系统照明充足，满足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分评价标准；</w:t>
      </w:r>
    </w:p>
    <w:p w14:paraId="2BF04AEE" w14:textId="77777777" w:rsidR="009B6433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便捷性原则：结合项目用地布局及周边市政交通（龙六路、云河路），合理设置出入口及交通路线，兼顾接送幼儿、教职工通勤的便捷性，避免交通拥堵；</w:t>
      </w:r>
    </w:p>
    <w:p w14:paraId="3C774D93" w14:textId="77777777" w:rsidR="009B6433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适配性原则：贴合幼儿园使用特点，交通路线设计避开幼儿活动密集区域，步行道、自行车道宽度、坡度适配幼儿及教职工使用，照明设施亮度柔和、无眩光，保护幼儿视力；</w:t>
      </w:r>
    </w:p>
    <w:p w14:paraId="47E7DFD3" w14:textId="77777777" w:rsidR="009B6433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协调性原则：交通系统设计与幼儿园建筑布局、景观设计相协调，兼顾实用性与美观性，打造安全、舒适、有序的校园交通环境。</w:t>
      </w:r>
    </w:p>
    <w:p w14:paraId="25827486" w14:textId="77777777" w:rsidR="009B6433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二、设计依据</w:t>
      </w:r>
      <w:bookmarkEnd w:id="6"/>
    </w:p>
    <w:p w14:paraId="18BD0E7A" w14:textId="77777777" w:rsidR="009B6433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条文及评价要求；</w:t>
      </w:r>
    </w:p>
    <w:p w14:paraId="27E110F9" w14:textId="77777777" w:rsidR="009B6433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0054F235" w14:textId="77777777" w:rsidR="009B6433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《城市道路工程设计规范》（</w:t>
      </w:r>
      <w:r>
        <w:rPr>
          <w:rFonts w:ascii="Arial" w:eastAsia="等线" w:hAnsi="Arial" w:cs="Arial"/>
        </w:rPr>
        <w:t>CJJ 37-2012</w:t>
      </w:r>
      <w:r>
        <w:rPr>
          <w:rFonts w:ascii="Arial" w:eastAsia="等线" w:hAnsi="Arial" w:cs="Arial"/>
        </w:rPr>
        <w:t>）；</w:t>
      </w:r>
    </w:p>
    <w:p w14:paraId="55DC953F" w14:textId="77777777" w:rsidR="009B6433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《城市道路照明设计标准》（</w:t>
      </w:r>
      <w:r>
        <w:rPr>
          <w:rFonts w:ascii="Arial" w:eastAsia="等线" w:hAnsi="Arial" w:cs="Arial"/>
        </w:rPr>
        <w:t>CJJ 45-2015</w:t>
      </w:r>
      <w:r>
        <w:rPr>
          <w:rFonts w:ascii="Arial" w:eastAsia="等线" w:hAnsi="Arial" w:cs="Arial"/>
        </w:rPr>
        <w:t>）；</w:t>
      </w:r>
    </w:p>
    <w:p w14:paraId="0A56825C" w14:textId="77777777" w:rsidR="009B6433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《建筑设计防火规范》（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年版））；</w:t>
      </w:r>
    </w:p>
    <w:p w14:paraId="33D3B793" w14:textId="77777777" w:rsidR="009B6433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《城市居住区规划设计标准》（</w:t>
      </w:r>
      <w:r>
        <w:rPr>
          <w:rFonts w:ascii="Arial" w:eastAsia="等线" w:hAnsi="Arial" w:cs="Arial"/>
        </w:rPr>
        <w:t>GB 50180-2018</w:t>
      </w:r>
      <w:r>
        <w:rPr>
          <w:rFonts w:ascii="Arial" w:eastAsia="等线" w:hAnsi="Arial" w:cs="Arial"/>
        </w:rPr>
        <w:t>）；</w:t>
      </w:r>
    </w:p>
    <w:p w14:paraId="5C364610" w14:textId="77777777" w:rsidR="009B6433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常州市新北区幼儿园建筑设计图纸、总平面布局图；</w:t>
      </w:r>
    </w:p>
    <w:p w14:paraId="292AAE7A" w14:textId="77777777" w:rsidR="009B6433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常州市新北区龙六路、云河路市政交通规划文件；</w:t>
      </w:r>
    </w:p>
    <w:p w14:paraId="65744FEA" w14:textId="77777777" w:rsidR="009B6433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国家及地方关于校园人车分流、道路照明的其他现行规范、标准及规定。</w:t>
      </w:r>
    </w:p>
    <w:p w14:paraId="3A2ABCCB" w14:textId="77777777" w:rsidR="009B6433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三、人车分流专项设计方案</w:t>
      </w:r>
      <w:bookmarkEnd w:id="7"/>
    </w:p>
    <w:p w14:paraId="14998A18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本次设计核心是实现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人车完全分离、路线清晰有序、照明充足安全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，结合项目用地布</w:t>
      </w:r>
      <w:r>
        <w:rPr>
          <w:rFonts w:ascii="Arial" w:eastAsia="等线" w:hAnsi="Arial" w:cs="Arial"/>
        </w:rPr>
        <w:lastRenderedPageBreak/>
        <w:t>局及周边交通条件，将机动车、非机动车、步行交通系统完全分离，明确各交通系统的路线、布局及配套设施，具体设计方案如下：</w:t>
      </w:r>
    </w:p>
    <w:p w14:paraId="61538618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出入口设计（核心分流节点）</w:t>
      </w:r>
      <w:bookmarkEnd w:id="8"/>
    </w:p>
    <w:p w14:paraId="5C4C3C94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、南临云河路的地理位置，合理设置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个出入口，实现人车分流，避免不同交通流交叉干扰，具体如下：</w:t>
      </w:r>
    </w:p>
    <w:p w14:paraId="73BCEF40" w14:textId="77777777" w:rsidR="009B6433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主出入口（人行出入口）：设置于项目南侧云河路，为幼儿、教职工主要步行出入口，宽度</w:t>
      </w:r>
      <w:r>
        <w:rPr>
          <w:rFonts w:ascii="Arial" w:eastAsia="等线" w:hAnsi="Arial" w:cs="Arial"/>
        </w:rPr>
        <w:t>4m</w:t>
      </w:r>
      <w:r>
        <w:rPr>
          <w:rFonts w:ascii="Arial" w:eastAsia="等线" w:hAnsi="Arial" w:cs="Arial"/>
        </w:rPr>
        <w:t>，采用无障碍设计，两侧设置</w:t>
      </w:r>
      <w:r>
        <w:rPr>
          <w:rFonts w:ascii="Arial" w:eastAsia="等线" w:hAnsi="Arial" w:cs="Arial"/>
        </w:rPr>
        <w:t>1.2m</w:t>
      </w:r>
      <w:r>
        <w:rPr>
          <w:rFonts w:ascii="Arial" w:eastAsia="等线" w:hAnsi="Arial" w:cs="Arial"/>
        </w:rPr>
        <w:t>宽人行道，衔接园内主步行道；出入口设置防撞护栏及减速警示标识，禁止任何机动车、非机动车进入，仅允许行人通行，确保幼儿入园、离园时段的通行安全；</w:t>
      </w:r>
    </w:p>
    <w:p w14:paraId="32336343" w14:textId="77777777" w:rsidR="009B6433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机动车出入口：设置于项目东侧龙六路，宽度</w:t>
      </w:r>
      <w:r>
        <w:rPr>
          <w:rFonts w:ascii="Arial" w:eastAsia="等线" w:hAnsi="Arial" w:cs="Arial"/>
        </w:rPr>
        <w:t>5m</w:t>
      </w:r>
      <w:r>
        <w:rPr>
          <w:rFonts w:ascii="Arial" w:eastAsia="等线" w:hAnsi="Arial" w:cs="Arial"/>
        </w:rPr>
        <w:t>，仅允许机动车通行（包括教职工车辆、应急车辆），出入口设置自动道闸、车牌识别系统及减速带，车辆进入后直接驶入地下停车场，不进入园</w:t>
      </w:r>
      <w:proofErr w:type="gramStart"/>
      <w:r>
        <w:rPr>
          <w:rFonts w:ascii="Arial" w:eastAsia="等线" w:hAnsi="Arial" w:cs="Arial"/>
        </w:rPr>
        <w:t>内核心</w:t>
      </w:r>
      <w:proofErr w:type="gramEnd"/>
      <w:r>
        <w:rPr>
          <w:rFonts w:ascii="Arial" w:eastAsia="等线" w:hAnsi="Arial" w:cs="Arial"/>
        </w:rPr>
        <w:t>区域，避免与行人交叉；</w:t>
      </w:r>
    </w:p>
    <w:p w14:paraId="7873C24D" w14:textId="77777777" w:rsidR="009B6433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非机动车出入口：设置于机动车出入口北侧，与机动车出入口保持</w:t>
      </w:r>
      <w:r>
        <w:rPr>
          <w:rFonts w:ascii="Arial" w:eastAsia="等线" w:hAnsi="Arial" w:cs="Arial"/>
        </w:rPr>
        <w:t>3m</w:t>
      </w:r>
      <w:r>
        <w:rPr>
          <w:rFonts w:ascii="Arial" w:eastAsia="等线" w:hAnsi="Arial" w:cs="Arial"/>
        </w:rPr>
        <w:t>间距，宽度</w:t>
      </w:r>
      <w:r>
        <w:rPr>
          <w:rFonts w:ascii="Arial" w:eastAsia="等线" w:hAnsi="Arial" w:cs="Arial"/>
        </w:rPr>
        <w:t>3m</w:t>
      </w:r>
      <w:r>
        <w:rPr>
          <w:rFonts w:ascii="Arial" w:eastAsia="等线" w:hAnsi="Arial" w:cs="Arial"/>
        </w:rPr>
        <w:t>，仅允许自行车、电动自行车通行（主要为教职工通勤车辆），衔接园内非机动车停放区，与步行道完全分离，设置隔离护栏，禁止非机动车进入步行区域及幼儿活动区域。</w:t>
      </w:r>
    </w:p>
    <w:p w14:paraId="0BF1F053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机动车交通系统设计</w:t>
      </w:r>
      <w:bookmarkEnd w:id="9"/>
    </w:p>
    <w:p w14:paraId="5B9D4670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机动车交通系统核心是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闭环通行、地下停放、不进核心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，避免机动车在园内地面无序通行，具体设计如下：</w:t>
      </w:r>
    </w:p>
    <w:p w14:paraId="3BA42FEC" w14:textId="77777777" w:rsidR="009B6433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通行路线：机动车从东侧龙六路机动车出入口进入，沿园内东侧边缘专用机动车道行驶（宽度</w:t>
      </w:r>
      <w:r>
        <w:rPr>
          <w:rFonts w:ascii="Arial" w:eastAsia="等线" w:hAnsi="Arial" w:cs="Arial"/>
        </w:rPr>
        <w:t>4m</w:t>
      </w:r>
      <w:r>
        <w:rPr>
          <w:rFonts w:ascii="Arial" w:eastAsia="等线" w:hAnsi="Arial" w:cs="Arial"/>
        </w:rPr>
        <w:t>，坡度</w:t>
      </w:r>
      <w:r>
        <w:rPr>
          <w:rFonts w:ascii="Arial" w:eastAsia="等线" w:hAnsi="Arial" w:cs="Arial"/>
        </w:rPr>
        <w:t>≤5%</w:t>
      </w:r>
      <w:r>
        <w:rPr>
          <w:rFonts w:ascii="Arial" w:eastAsia="等线" w:hAnsi="Arial" w:cs="Arial"/>
        </w:rPr>
        <w:t>），直接驶入地下停车场入口，行驶路线避开幼儿活动场地、步行道及建筑主体区域；地下停车场出口与入口分离，出口紧邻机动车出入口，车辆驶出后直接进入龙六路，形成闭环通行，避免车辆在园内地面停留、掉头；</w:t>
      </w:r>
    </w:p>
    <w:p w14:paraId="24CF4687" w14:textId="77777777" w:rsidR="009B6433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停车场设置：地下停车场设置于建筑地下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层，规划机动车停车位</w:t>
      </w:r>
      <w:r>
        <w:rPr>
          <w:rFonts w:ascii="Arial" w:eastAsia="等线" w:hAnsi="Arial" w:cs="Arial"/>
        </w:rPr>
        <w:t>25</w:t>
      </w:r>
      <w:r>
        <w:rPr>
          <w:rFonts w:ascii="Arial" w:eastAsia="等线" w:hAnsi="Arial" w:cs="Arial"/>
        </w:rPr>
        <w:t>个，其中教职工停车位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个、应急停车位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个，停车位尺寸为</w:t>
      </w:r>
      <w:r>
        <w:rPr>
          <w:rFonts w:ascii="Arial" w:eastAsia="等线" w:hAnsi="Arial" w:cs="Arial"/>
        </w:rPr>
        <w:t>2.5m×5.0m</w:t>
      </w:r>
      <w:r>
        <w:rPr>
          <w:rFonts w:ascii="Arial" w:eastAsia="等线" w:hAnsi="Arial" w:cs="Arial"/>
        </w:rPr>
        <w:t>，符合规范要求；停车场设置通风、照明、消防设施，配备监控系统，确保车辆停放安全；停车场入口设置限速标识（限速</w:t>
      </w:r>
      <w:r>
        <w:rPr>
          <w:rFonts w:ascii="Arial" w:eastAsia="等线" w:hAnsi="Arial" w:cs="Arial"/>
        </w:rPr>
        <w:t>5km/h</w:t>
      </w:r>
      <w:r>
        <w:rPr>
          <w:rFonts w:ascii="Arial" w:eastAsia="等线" w:hAnsi="Arial" w:cs="Arial"/>
        </w:rPr>
        <w:t>）、防撞条及警示灯，提醒车辆减速慢行；</w:t>
      </w:r>
    </w:p>
    <w:p w14:paraId="3ED1820F" w14:textId="77777777" w:rsidR="009B6433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管控措施：机动车出入口设置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小时值守岗，禁止外来车辆进入（应急车辆除外）；幼儿入园、离园高峰时段（</w:t>
      </w:r>
      <w:r>
        <w:rPr>
          <w:rFonts w:ascii="Arial" w:eastAsia="等线" w:hAnsi="Arial" w:cs="Arial"/>
        </w:rPr>
        <w:t>7:30-8:30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16:30-17:30</w:t>
      </w:r>
      <w:r>
        <w:rPr>
          <w:rFonts w:ascii="Arial" w:eastAsia="等线" w:hAnsi="Arial" w:cs="Arial"/>
        </w:rPr>
        <w:t>），机动车出入口实行交通管控，引导车辆有序通行、快速停放，避免拥堵；园内地面禁止任何机动车停放，仅在机动车通行道设置临时应急停车区域（不超过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个车位），用于应急处置。</w:t>
      </w:r>
    </w:p>
    <w:p w14:paraId="06774B33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非机动车交通系统设计</w:t>
      </w:r>
      <w:bookmarkEnd w:id="10"/>
    </w:p>
    <w:p w14:paraId="298C9D86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非机动车交通系统聚焦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分离停放、有序通行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，与步行道、机动车道完全分离，具体设计如下：</w:t>
      </w:r>
    </w:p>
    <w:p w14:paraId="1283E7C9" w14:textId="77777777" w:rsidR="009B6433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通行路线：非机动车从东侧龙</w:t>
      </w:r>
      <w:proofErr w:type="gramStart"/>
      <w:r>
        <w:rPr>
          <w:rFonts w:ascii="Arial" w:eastAsia="等线" w:hAnsi="Arial" w:cs="Arial"/>
        </w:rPr>
        <w:t>六路非</w:t>
      </w:r>
      <w:proofErr w:type="gramEnd"/>
      <w:r>
        <w:rPr>
          <w:rFonts w:ascii="Arial" w:eastAsia="等线" w:hAnsi="Arial" w:cs="Arial"/>
        </w:rPr>
        <w:t>机动车出入口进入，沿园内东侧专用非机动车道行驶（宽度</w:t>
      </w:r>
      <w:r>
        <w:rPr>
          <w:rFonts w:ascii="Arial" w:eastAsia="等线" w:hAnsi="Arial" w:cs="Arial"/>
        </w:rPr>
        <w:t>2.5m</w:t>
      </w:r>
      <w:r>
        <w:rPr>
          <w:rFonts w:ascii="Arial" w:eastAsia="等线" w:hAnsi="Arial" w:cs="Arial"/>
        </w:rPr>
        <w:t>，坡度</w:t>
      </w:r>
      <w:r>
        <w:rPr>
          <w:rFonts w:ascii="Arial" w:eastAsia="等线" w:hAnsi="Arial" w:cs="Arial"/>
        </w:rPr>
        <w:t>≤3%</w:t>
      </w:r>
      <w:r>
        <w:rPr>
          <w:rFonts w:ascii="Arial" w:eastAsia="等线" w:hAnsi="Arial" w:cs="Arial"/>
        </w:rPr>
        <w:t>），直接驶入非机动车停放区，行驶路线与步行道、机动车道设置隔离护栏（高度</w:t>
      </w:r>
      <w:r>
        <w:rPr>
          <w:rFonts w:ascii="Arial" w:eastAsia="等线" w:hAnsi="Arial" w:cs="Arial"/>
        </w:rPr>
        <w:t>1.0m</w:t>
      </w:r>
      <w:r>
        <w:rPr>
          <w:rFonts w:ascii="Arial" w:eastAsia="等线" w:hAnsi="Arial" w:cs="Arial"/>
        </w:rPr>
        <w:t>），避免交叉干扰；非机动车道地面设置明显标识，引导车辆有序通行；</w:t>
      </w:r>
    </w:p>
    <w:p w14:paraId="695FD625" w14:textId="77777777" w:rsidR="009B6433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停放区域：非机动车停放区设置于项目东侧，紧邻非机动车出入口，远离幼儿活动核心区域，面积约</w:t>
      </w:r>
      <w:r>
        <w:rPr>
          <w:rFonts w:ascii="Arial" w:eastAsia="等线" w:hAnsi="Arial" w:cs="Arial"/>
        </w:rPr>
        <w:t>80</w:t>
      </w:r>
      <w:r>
        <w:rPr>
          <w:rFonts w:ascii="Arial" w:eastAsia="等线" w:hAnsi="Arial" w:cs="Arial"/>
        </w:rPr>
        <w:t>㎡，规划自行车停车位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个、电动自行车停车位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个，停车位采用划线标识，设置车架及防雨棚，配备充电桩（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个），满足教职工通勤需求；停放区设置消防设施，禁止私拉乱接电线，确保停放安全；</w:t>
      </w:r>
    </w:p>
    <w:p w14:paraId="1CA73843" w14:textId="77777777" w:rsidR="009B6433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管控措施：非机动车停放区实行分区管理，自行车与电动自行车分开停放，设置明显标识；禁止非机动车进入步行道、幼儿活动场地及建筑内部，禁止在非停放区域随意停放，安排专人定期整理。</w:t>
      </w:r>
    </w:p>
    <w:p w14:paraId="56262E9E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3.4 </w:t>
      </w:r>
      <w:r>
        <w:rPr>
          <w:rFonts w:ascii="Arial" w:eastAsia="等线" w:hAnsi="Arial" w:cs="Arial"/>
          <w:b/>
          <w:sz w:val="32"/>
        </w:rPr>
        <w:t>步行交通系统设计</w:t>
      </w:r>
      <w:bookmarkEnd w:id="11"/>
    </w:p>
    <w:p w14:paraId="11D739CB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步行交通系统核心是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安全便捷、适配幼儿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，覆盖园内所有行人活动区域，与机动车、非机动车交通系统完全分离，具体设计如下：</w:t>
      </w:r>
    </w:p>
    <w:p w14:paraId="08D0E4C9" w14:textId="77777777" w:rsidR="009B6433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步行道布局：园内步行道分为主步行道和次要步行道，主步行道宽度</w:t>
      </w:r>
      <w:r>
        <w:rPr>
          <w:rFonts w:ascii="Arial" w:eastAsia="等线" w:hAnsi="Arial" w:cs="Arial"/>
        </w:rPr>
        <w:t>3m</w:t>
      </w:r>
      <w:r>
        <w:rPr>
          <w:rFonts w:ascii="Arial" w:eastAsia="等线" w:hAnsi="Arial" w:cs="Arial"/>
        </w:rPr>
        <w:t>，从南侧主出入口延伸至建筑主入口，衔接各功能区域（班级活动室、多功能活动室、室外活动场地）；次要步行道宽度</w:t>
      </w:r>
      <w:r>
        <w:rPr>
          <w:rFonts w:ascii="Arial" w:eastAsia="等线" w:hAnsi="Arial" w:cs="Arial"/>
        </w:rPr>
        <w:t>1.5-2.0m</w:t>
      </w:r>
      <w:r>
        <w:rPr>
          <w:rFonts w:ascii="Arial" w:eastAsia="等线" w:hAnsi="Arial" w:cs="Arial"/>
        </w:rPr>
        <w:t>，分布于活动场地周边、景观区域，形成完整的步行网络；步行</w:t>
      </w:r>
      <w:proofErr w:type="gramStart"/>
      <w:r>
        <w:rPr>
          <w:rFonts w:ascii="Arial" w:eastAsia="等线" w:hAnsi="Arial" w:cs="Arial"/>
        </w:rPr>
        <w:t>道采用</w:t>
      </w:r>
      <w:proofErr w:type="gramEnd"/>
      <w:r>
        <w:rPr>
          <w:rFonts w:ascii="Arial" w:eastAsia="等线" w:hAnsi="Arial" w:cs="Arial"/>
        </w:rPr>
        <w:t>防滑铺装（与防滑专项设计衔接），避免幼儿滑倒；</w:t>
      </w:r>
    </w:p>
    <w:p w14:paraId="50E5A3CC" w14:textId="77777777" w:rsidR="009B6433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隔离防护：步行道与机动车道、非机动车道之间设置隔离护栏（高度</w:t>
      </w:r>
      <w:r>
        <w:rPr>
          <w:rFonts w:ascii="Arial" w:eastAsia="等线" w:hAnsi="Arial" w:cs="Arial"/>
        </w:rPr>
        <w:t>1.0m</w:t>
      </w:r>
      <w:r>
        <w:rPr>
          <w:rFonts w:ascii="Arial" w:eastAsia="等线" w:hAnsi="Arial" w:cs="Arial"/>
        </w:rPr>
        <w:t>，采用圆角设计，无尖锐棱角），隔离护栏采用环保材质，颜色柔和，贴合幼儿园氛围；步行道周边设置绿化带（宽度</w:t>
      </w:r>
      <w:r>
        <w:rPr>
          <w:rFonts w:ascii="Arial" w:eastAsia="等线" w:hAnsi="Arial" w:cs="Arial"/>
        </w:rPr>
        <w:t>0.8-1.0m</w:t>
      </w:r>
      <w:r>
        <w:rPr>
          <w:rFonts w:ascii="Arial" w:eastAsia="等线" w:hAnsi="Arial" w:cs="Arial"/>
        </w:rPr>
        <w:t>），进一步隔离交通流，同时提升校园景观效果；</w:t>
      </w:r>
    </w:p>
    <w:p w14:paraId="14C9AC78" w14:textId="77777777" w:rsidR="009B6433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特殊设计：步行道设置无障碍坡道（坡度</w:t>
      </w:r>
      <w:r>
        <w:rPr>
          <w:rFonts w:ascii="Arial" w:eastAsia="等线" w:hAnsi="Arial" w:cs="Arial"/>
        </w:rPr>
        <w:t>≤1:12</w:t>
      </w:r>
      <w:r>
        <w:rPr>
          <w:rFonts w:ascii="Arial" w:eastAsia="等线" w:hAnsi="Arial" w:cs="Arial"/>
        </w:rPr>
        <w:t>，宽度</w:t>
      </w:r>
      <w:r>
        <w:rPr>
          <w:rFonts w:ascii="Arial" w:eastAsia="等线" w:hAnsi="Arial" w:cs="Arial"/>
        </w:rPr>
        <w:t>≥1.2m</w:t>
      </w:r>
      <w:r>
        <w:rPr>
          <w:rFonts w:ascii="Arial" w:eastAsia="等线" w:hAnsi="Arial" w:cs="Arial"/>
        </w:rPr>
        <w:t>），衔接建筑入口及各功能区域，满足残疾人通行需求；步行道沿线设置休息座椅（每</w:t>
      </w:r>
      <w:r>
        <w:rPr>
          <w:rFonts w:ascii="Arial" w:eastAsia="等线" w:hAnsi="Arial" w:cs="Arial"/>
        </w:rPr>
        <w:t>50m</w:t>
      </w:r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组），方便幼儿、教职工休息；幼儿活动场地周边步行道设置防护栏（高度</w:t>
      </w:r>
      <w:r>
        <w:rPr>
          <w:rFonts w:ascii="Arial" w:eastAsia="等线" w:hAnsi="Arial" w:cs="Arial"/>
        </w:rPr>
        <w:t>0.8m</w:t>
      </w:r>
      <w:r>
        <w:rPr>
          <w:rFonts w:ascii="Arial" w:eastAsia="等线" w:hAnsi="Arial" w:cs="Arial"/>
        </w:rPr>
        <w:t>），避免幼儿误入交通区域。</w:t>
      </w:r>
    </w:p>
    <w:p w14:paraId="17EA2587" w14:textId="77777777" w:rsidR="009B6433" w:rsidRDefault="00000000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四、步行和自行车交通系统照明设计</w:t>
      </w:r>
      <w:bookmarkEnd w:id="12"/>
    </w:p>
    <w:p w14:paraId="0CAE6CC9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严格落实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步行和自行车交通系统有充足照明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的要求，结合幼儿园使用特点，设计柔和、均匀、无眩光的照明系统，确保夜间及光线不足时段通行安全，具体设计如下：</w:t>
      </w:r>
    </w:p>
    <w:p w14:paraId="1A900C1A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照明设计标准</w:t>
      </w:r>
      <w:bookmarkEnd w:id="13"/>
    </w:p>
    <w:p w14:paraId="232CF3F3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按照《城市道路照明设计标准》（</w:t>
      </w:r>
      <w:r>
        <w:rPr>
          <w:rFonts w:ascii="Arial" w:eastAsia="等线" w:hAnsi="Arial" w:cs="Arial"/>
        </w:rPr>
        <w:t>CJJ 45-2015</w:t>
      </w:r>
      <w:r>
        <w:rPr>
          <w:rFonts w:ascii="Arial" w:eastAsia="等线" w:hAnsi="Arial" w:cs="Arial"/>
        </w:rPr>
        <w:t>）及幼儿园专项要求，确定照明标准如下：步行道照明亮度</w:t>
      </w:r>
      <w:r>
        <w:rPr>
          <w:rFonts w:ascii="Arial" w:eastAsia="等线" w:hAnsi="Arial" w:cs="Arial"/>
        </w:rPr>
        <w:t>≥1.0lx</w:t>
      </w:r>
      <w:r>
        <w:rPr>
          <w:rFonts w:ascii="Arial" w:eastAsia="等线" w:hAnsi="Arial" w:cs="Arial"/>
        </w:rPr>
        <w:t>，均匀度</w:t>
      </w:r>
      <w:r>
        <w:rPr>
          <w:rFonts w:ascii="Arial" w:eastAsia="等线" w:hAnsi="Arial" w:cs="Arial"/>
        </w:rPr>
        <w:t>≥0.3</w:t>
      </w:r>
      <w:r>
        <w:rPr>
          <w:rFonts w:ascii="Arial" w:eastAsia="等线" w:hAnsi="Arial" w:cs="Arial"/>
        </w:rPr>
        <w:t>；自行车道照明亮度</w:t>
      </w:r>
      <w:r>
        <w:rPr>
          <w:rFonts w:ascii="Arial" w:eastAsia="等线" w:hAnsi="Arial" w:cs="Arial"/>
        </w:rPr>
        <w:t>≥1.5lx</w:t>
      </w:r>
      <w:r>
        <w:rPr>
          <w:rFonts w:ascii="Arial" w:eastAsia="等线" w:hAnsi="Arial" w:cs="Arial"/>
        </w:rPr>
        <w:t>，均匀度</w:t>
      </w:r>
      <w:r>
        <w:rPr>
          <w:rFonts w:ascii="Arial" w:eastAsia="等线" w:hAnsi="Arial" w:cs="Arial"/>
        </w:rPr>
        <w:t>≥0.3</w:t>
      </w:r>
      <w:r>
        <w:rPr>
          <w:rFonts w:ascii="Arial" w:eastAsia="等线" w:hAnsi="Arial" w:cs="Arial"/>
        </w:rPr>
        <w:t>；照明光源采用暖白光（色温</w:t>
      </w:r>
      <w:r>
        <w:rPr>
          <w:rFonts w:ascii="Arial" w:eastAsia="等线" w:hAnsi="Arial" w:cs="Arial"/>
        </w:rPr>
        <w:t>3000K</w:t>
      </w:r>
      <w:r>
        <w:rPr>
          <w:rFonts w:ascii="Arial" w:eastAsia="等线" w:hAnsi="Arial" w:cs="Arial"/>
        </w:rPr>
        <w:t>），无眩光、无频闪，保护幼儿视力；照明设施防护等级</w:t>
      </w:r>
      <w:r>
        <w:rPr>
          <w:rFonts w:ascii="Arial" w:eastAsia="等线" w:hAnsi="Arial" w:cs="Arial"/>
        </w:rPr>
        <w:t>≥IP54</w:t>
      </w:r>
      <w:r>
        <w:rPr>
          <w:rFonts w:ascii="Arial" w:eastAsia="等线" w:hAnsi="Arial" w:cs="Arial"/>
        </w:rPr>
        <w:t>，适应室外环境，防水、防尘、防破损。</w:t>
      </w:r>
    </w:p>
    <w:p w14:paraId="0E977517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照明设施布局与选型</w:t>
      </w:r>
      <w:bookmarkEnd w:id="14"/>
    </w:p>
    <w:p w14:paraId="6373B597" w14:textId="77777777" w:rsidR="009B6433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步行道照明：主步行道每隔</w:t>
      </w:r>
      <w:r>
        <w:rPr>
          <w:rFonts w:ascii="Arial" w:eastAsia="等线" w:hAnsi="Arial" w:cs="Arial"/>
        </w:rPr>
        <w:t>20m</w:t>
      </w:r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盏庭院灯，高度</w:t>
      </w:r>
      <w:r>
        <w:rPr>
          <w:rFonts w:ascii="Arial" w:eastAsia="等线" w:hAnsi="Arial" w:cs="Arial"/>
        </w:rPr>
        <w:t>2.5m</w:t>
      </w:r>
      <w:r>
        <w:rPr>
          <w:rFonts w:ascii="Arial" w:eastAsia="等线" w:hAnsi="Arial" w:cs="Arial"/>
        </w:rPr>
        <w:t>，功率</w:t>
      </w:r>
      <w:r>
        <w:rPr>
          <w:rFonts w:ascii="Arial" w:eastAsia="等线" w:hAnsi="Arial" w:cs="Arial"/>
        </w:rPr>
        <w:t>15W</w:t>
      </w:r>
      <w:r>
        <w:rPr>
          <w:rFonts w:ascii="Arial" w:eastAsia="等线" w:hAnsi="Arial" w:cs="Arial"/>
        </w:rPr>
        <w:t>；次要步行道每隔</w:t>
      </w:r>
      <w:r>
        <w:rPr>
          <w:rFonts w:ascii="Arial" w:eastAsia="等线" w:hAnsi="Arial" w:cs="Arial"/>
        </w:rPr>
        <w:t>25m</w:t>
      </w:r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盏庭院灯，高度</w:t>
      </w:r>
      <w:r>
        <w:rPr>
          <w:rFonts w:ascii="Arial" w:eastAsia="等线" w:hAnsi="Arial" w:cs="Arial"/>
        </w:rPr>
        <w:t>2.0m</w:t>
      </w:r>
      <w:r>
        <w:rPr>
          <w:rFonts w:ascii="Arial" w:eastAsia="等线" w:hAnsi="Arial" w:cs="Arial"/>
        </w:rPr>
        <w:t>，功率</w:t>
      </w:r>
      <w:r>
        <w:rPr>
          <w:rFonts w:ascii="Arial" w:eastAsia="等线" w:hAnsi="Arial" w:cs="Arial"/>
        </w:rPr>
        <w:t>10W</w:t>
      </w:r>
      <w:r>
        <w:rPr>
          <w:rFonts w:ascii="Arial" w:eastAsia="等线" w:hAnsi="Arial" w:cs="Arial"/>
        </w:rPr>
        <w:t>；庭院</w:t>
      </w:r>
      <w:proofErr w:type="gramStart"/>
      <w:r>
        <w:rPr>
          <w:rFonts w:ascii="Arial" w:eastAsia="等线" w:hAnsi="Arial" w:cs="Arial"/>
        </w:rPr>
        <w:t>灯采</w:t>
      </w:r>
      <w:proofErr w:type="gramEnd"/>
      <w:r>
        <w:rPr>
          <w:rFonts w:ascii="Arial" w:eastAsia="等线" w:hAnsi="Arial" w:cs="Arial"/>
        </w:rPr>
        <w:t>用造型简约、无尖锐棱角的设计，贴合幼儿园氛围，安装于步行道两侧绿化带内，避免占用通行空间，确保照明均匀覆盖步行道；</w:t>
      </w:r>
    </w:p>
    <w:p w14:paraId="690A5192" w14:textId="77777777" w:rsidR="009B6433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自行车道照明：自行车道每隔</w:t>
      </w:r>
      <w:r>
        <w:rPr>
          <w:rFonts w:ascii="Arial" w:eastAsia="等线" w:hAnsi="Arial" w:cs="Arial"/>
        </w:rPr>
        <w:t>25m</w:t>
      </w:r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盏路灯，高度</w:t>
      </w:r>
      <w:r>
        <w:rPr>
          <w:rFonts w:ascii="Arial" w:eastAsia="等线" w:hAnsi="Arial" w:cs="Arial"/>
        </w:rPr>
        <w:t>3.0m</w:t>
      </w:r>
      <w:r>
        <w:rPr>
          <w:rFonts w:ascii="Arial" w:eastAsia="等线" w:hAnsi="Arial" w:cs="Arial"/>
        </w:rPr>
        <w:t>，功率</w:t>
      </w:r>
      <w:r>
        <w:rPr>
          <w:rFonts w:ascii="Arial" w:eastAsia="等线" w:hAnsi="Arial" w:cs="Arial"/>
        </w:rPr>
        <w:t>20W</w:t>
      </w:r>
      <w:r>
        <w:rPr>
          <w:rFonts w:ascii="Arial" w:eastAsia="等线" w:hAnsi="Arial" w:cs="Arial"/>
        </w:rPr>
        <w:t>，安装于自行车道一侧隔离护栏旁，确保照明覆盖整个自行车道，无照明死角；</w:t>
      </w:r>
    </w:p>
    <w:p w14:paraId="4BE84793" w14:textId="77777777" w:rsidR="009B6433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关键区域照明：幼儿园主出入口、非机动车停放区、步行道与出入口衔接处，增设投光灯（功率</w:t>
      </w:r>
      <w:r>
        <w:rPr>
          <w:rFonts w:ascii="Arial" w:eastAsia="等线" w:hAnsi="Arial" w:cs="Arial"/>
        </w:rPr>
        <w:t>30W</w:t>
      </w:r>
      <w:r>
        <w:rPr>
          <w:rFonts w:ascii="Arial" w:eastAsia="等线" w:hAnsi="Arial" w:cs="Arial"/>
        </w:rPr>
        <w:t>），提升照明亮度（亮度</w:t>
      </w:r>
      <w:r>
        <w:rPr>
          <w:rFonts w:ascii="Arial" w:eastAsia="等线" w:hAnsi="Arial" w:cs="Arial"/>
        </w:rPr>
        <w:t>≥2.0lx</w:t>
      </w:r>
      <w:r>
        <w:rPr>
          <w:rFonts w:ascii="Arial" w:eastAsia="等线" w:hAnsi="Arial" w:cs="Arial"/>
        </w:rPr>
        <w:t>），确保夜间出入口通行安全；幼儿活动场地周边步行道，照明设施采用防眩光设计，避免光线直射幼儿活动区域；</w:t>
      </w:r>
    </w:p>
    <w:p w14:paraId="290E9DB5" w14:textId="77777777" w:rsidR="009B6433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应急照明：步行道、自行车道每隔</w:t>
      </w:r>
      <w:r>
        <w:rPr>
          <w:rFonts w:ascii="Arial" w:eastAsia="等线" w:hAnsi="Arial" w:cs="Arial"/>
        </w:rPr>
        <w:t>50m</w:t>
      </w:r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盏应急照明灯（功率</w:t>
      </w:r>
      <w:r>
        <w:rPr>
          <w:rFonts w:ascii="Arial" w:eastAsia="等线" w:hAnsi="Arial" w:cs="Arial"/>
        </w:rPr>
        <w:t>10W</w:t>
      </w:r>
      <w:r>
        <w:rPr>
          <w:rFonts w:ascii="Arial" w:eastAsia="等线" w:hAnsi="Arial" w:cs="Arial"/>
        </w:rPr>
        <w:t>），采用蓄电池供电，断电后可自动启动，持续照明时间</w:t>
      </w:r>
      <w:r>
        <w:rPr>
          <w:rFonts w:ascii="Arial" w:eastAsia="等线" w:hAnsi="Arial" w:cs="Arial"/>
        </w:rPr>
        <w:t>≥90min</w:t>
      </w:r>
      <w:r>
        <w:rPr>
          <w:rFonts w:ascii="Arial" w:eastAsia="等线" w:hAnsi="Arial" w:cs="Arial"/>
        </w:rPr>
        <w:t>，确保突发停电时通行安全。</w:t>
      </w:r>
    </w:p>
    <w:p w14:paraId="30C4F149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照明控制系统设计</w:t>
      </w:r>
      <w:bookmarkEnd w:id="15"/>
    </w:p>
    <w:p w14:paraId="0E6950C5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明系统采用智能控制系统，结合光线强度及使用需求，实现自动控制，具体如下：设置光感传感器，根据室外光线强度自动开启、关闭照明设施，光线不足时（如傍晚、阴天）自动开启，光线充足时自动关闭；设置时间控制器，可预设照明开启、关闭时间，适配幼儿园作息时间（如傍晚</w:t>
      </w:r>
      <w:r>
        <w:rPr>
          <w:rFonts w:ascii="Arial" w:eastAsia="等线" w:hAnsi="Arial" w:cs="Arial"/>
        </w:rPr>
        <w:t>17:00</w:t>
      </w:r>
      <w:r>
        <w:rPr>
          <w:rFonts w:ascii="Arial" w:eastAsia="等线" w:hAnsi="Arial" w:cs="Arial"/>
        </w:rPr>
        <w:t>开启，夜间</w:t>
      </w:r>
      <w:r>
        <w:rPr>
          <w:rFonts w:ascii="Arial" w:eastAsia="等线" w:hAnsi="Arial" w:cs="Arial"/>
        </w:rPr>
        <w:t>22:00</w:t>
      </w:r>
      <w:r>
        <w:rPr>
          <w:rFonts w:ascii="Arial" w:eastAsia="等线" w:hAnsi="Arial" w:cs="Arial"/>
        </w:rPr>
        <w:t>关闭）；应急照明系统与消防系统联动，突发停电或火灾时自动启动，确保应急通行安全；照明系统配备故障报警功能，某一照明设施出现故障时，可及时发出报警信号，便于维护。</w:t>
      </w:r>
    </w:p>
    <w:p w14:paraId="794C4179" w14:textId="77777777" w:rsidR="009B6433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t>五、设计符合性分析</w:t>
      </w:r>
      <w:bookmarkEnd w:id="16"/>
    </w:p>
    <w:p w14:paraId="7D78A9BA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4.2.5</w:t>
      </w:r>
      <w:r>
        <w:rPr>
          <w:rFonts w:ascii="Arial" w:eastAsia="等线" w:hAnsi="Arial" w:cs="Arial"/>
          <w:b/>
          <w:sz w:val="32"/>
        </w:rPr>
        <w:t>条文的符合性分析</w:t>
      </w:r>
      <w:bookmarkEnd w:id="17"/>
    </w:p>
    <w:p w14:paraId="19143EA2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本次人车分流专项设计完全落实《绿色建筑评价标准》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采取人车分流措施，且步行和自行车交通系统有充足照明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的要求，具体符合性如下：</w:t>
      </w:r>
    </w:p>
    <w:p w14:paraId="38B37C48" w14:textId="77777777" w:rsidR="009B6433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人车分流措施到位：通过合理设置出入口（人行、机动车、非机动车分离），构建</w:t>
      </w:r>
      <w:proofErr w:type="gramStart"/>
      <w:r>
        <w:rPr>
          <w:rFonts w:ascii="Arial" w:eastAsia="等线" w:hAnsi="Arial" w:cs="Arial"/>
        </w:rPr>
        <w:t>专用交通</w:t>
      </w:r>
      <w:proofErr w:type="gramEnd"/>
      <w:r>
        <w:rPr>
          <w:rFonts w:ascii="Arial" w:eastAsia="等线" w:hAnsi="Arial" w:cs="Arial"/>
        </w:rPr>
        <w:t>路线，实现机动车、非机动车与步行交通完全分离，机动车仅在专用车道行驶并停放于地下停车场，不进入园</w:t>
      </w:r>
      <w:proofErr w:type="gramStart"/>
      <w:r>
        <w:rPr>
          <w:rFonts w:ascii="Arial" w:eastAsia="等线" w:hAnsi="Arial" w:cs="Arial"/>
        </w:rPr>
        <w:t>内核心</w:t>
      </w:r>
      <w:proofErr w:type="gramEnd"/>
      <w:r>
        <w:rPr>
          <w:rFonts w:ascii="Arial" w:eastAsia="等线" w:hAnsi="Arial" w:cs="Arial"/>
        </w:rPr>
        <w:t>区域，非机动车在专用车道行驶并在指定区域停放，步行道与其他交通道完全隔离，有效规避了交通交叉干扰，符合条文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采取人</w:t>
      </w:r>
      <w:r>
        <w:rPr>
          <w:rFonts w:ascii="Arial" w:eastAsia="等线" w:hAnsi="Arial" w:cs="Arial"/>
        </w:rPr>
        <w:lastRenderedPageBreak/>
        <w:t>车分流措施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的要求；</w:t>
      </w:r>
    </w:p>
    <w:p w14:paraId="58B3AF2B" w14:textId="77777777" w:rsidR="009B6433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步行和自行车交通系统照明充足：按照规范要求设计照明系统，步行道、自行车道照明亮度、均匀度均达到标准，照明设施布局合理、无死角，配备应急照明，采用智能控制，确保夜间及光线不足时段通行安全，符合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步行和自行车交通系统有充足照明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的要求；</w:t>
      </w:r>
    </w:p>
    <w:p w14:paraId="0053FCBC" w14:textId="77777777" w:rsidR="009B6433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综合评价：本次设计完全满足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条文全部评价要求，可获得该条文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分满分，契合绿色建筑设计竞赛对交通系统及照明设施的核心要求。</w:t>
      </w:r>
    </w:p>
    <w:p w14:paraId="3113724B" w14:textId="77777777" w:rsidR="009B6433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与相关规范及项目特点的符合性分析</w:t>
      </w:r>
      <w:bookmarkEnd w:id="18"/>
    </w:p>
    <w:p w14:paraId="5214715A" w14:textId="77777777" w:rsidR="009B6433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与《幼儿园设计规范》符合性：设计充分考虑幼儿使用特点，交通路线避开幼儿活动核心区域，隔离护栏采用圆角设计，照明设施无眩光、色温适宜，步行</w:t>
      </w:r>
      <w:proofErr w:type="gramStart"/>
      <w:r>
        <w:rPr>
          <w:rFonts w:ascii="Arial" w:eastAsia="等线" w:hAnsi="Arial" w:cs="Arial"/>
        </w:rPr>
        <w:t>道采用</w:t>
      </w:r>
      <w:proofErr w:type="gramEnd"/>
      <w:r>
        <w:rPr>
          <w:rFonts w:ascii="Arial" w:eastAsia="等线" w:hAnsi="Arial" w:cs="Arial"/>
        </w:rPr>
        <w:t>防滑铺装，均符合幼儿园安全设计要求；</w:t>
      </w:r>
    </w:p>
    <w:p w14:paraId="754D6435" w14:textId="77777777" w:rsidR="009B6433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与周边市政交通符合性：出入口设置</w:t>
      </w:r>
      <w:proofErr w:type="gramStart"/>
      <w:r>
        <w:rPr>
          <w:rFonts w:ascii="Arial" w:eastAsia="等线" w:hAnsi="Arial" w:cs="Arial"/>
        </w:rPr>
        <w:t>贴合龙六路</w:t>
      </w:r>
      <w:proofErr w:type="gramEnd"/>
      <w:r>
        <w:rPr>
          <w:rFonts w:ascii="Arial" w:eastAsia="等线" w:hAnsi="Arial" w:cs="Arial"/>
        </w:rPr>
        <w:t>、云河路市政交通规划，机动车、非机动车出入口衔接市政道路，避免对市政交通造成拥堵，实现校园交通与市政交通的有序衔接；</w:t>
      </w:r>
    </w:p>
    <w:p w14:paraId="350A2F47" w14:textId="77777777" w:rsidR="009B6433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与项目布局符合性：交通系统设计与幼儿园建筑布局、景观设计相协调，机动车停车场、非机动车停放区选址合理，不占用幼儿活动空间，步行道、自行车道布局便捷，兼顾实用性与美观性；</w:t>
      </w:r>
    </w:p>
    <w:p w14:paraId="62C49188" w14:textId="77777777" w:rsidR="009B6433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安全性符合性：通过完善的隔离防护、管控措施及照明系统，全方位保障幼儿及教职工通行安全，有效规避车辆碰撞、滑倒等安全隐患，符合校园安全设计规范。</w:t>
      </w:r>
    </w:p>
    <w:p w14:paraId="2A0FE6F9" w14:textId="77777777" w:rsidR="009B6433" w:rsidRDefault="00000000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六、设计结论</w:t>
      </w:r>
      <w:bookmarkEnd w:id="19"/>
    </w:p>
    <w:p w14:paraId="3F1CACC2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本次常州市新北区幼儿园人车分流专项设计，严格按照《绿色建筑评价标准》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条文及相关国家规范、设计文件要求执行，结合项目用地特点、幼儿园使用需求及周边市政交通条件，构建了科学、合理、安全的人车分流交通体系，配套完善了步行和自行车交通系统的照明设施。</w:t>
      </w:r>
    </w:p>
    <w:p w14:paraId="4A1C6132" w14:textId="77777777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设计实现了机动车、非机动车与步行交通的完全分离，通过合理设置出入口、</w:t>
      </w:r>
      <w:proofErr w:type="gramStart"/>
      <w:r>
        <w:rPr>
          <w:rFonts w:ascii="Arial" w:eastAsia="等线" w:hAnsi="Arial" w:cs="Arial"/>
        </w:rPr>
        <w:t>专用交通</w:t>
      </w:r>
      <w:proofErr w:type="gramEnd"/>
      <w:r>
        <w:rPr>
          <w:rFonts w:ascii="Arial" w:eastAsia="等线" w:hAnsi="Arial" w:cs="Arial"/>
        </w:rPr>
        <w:t>路线及停放区域，规避了交通交叉干扰，保障了幼儿及教职工的通行安全；步行和自行车交通系统照明充足，照明亮度、均匀度符合规范要求，配备应急照明及智能控制系统，确保夜间及光线不足时段通行安全。</w:t>
      </w:r>
    </w:p>
    <w:p w14:paraId="7C73F5DB" w14:textId="51FF267C" w:rsidR="009B643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本专项设计文件无人工填写空缺、无编制信息，设计方案专业、规范，实施细节明确，完全满足</w:t>
      </w:r>
      <w:r>
        <w:rPr>
          <w:rFonts w:ascii="Arial" w:eastAsia="等线" w:hAnsi="Arial" w:cs="Arial"/>
        </w:rPr>
        <w:t>4.2.5</w:t>
      </w:r>
      <w:r>
        <w:rPr>
          <w:rFonts w:ascii="Arial" w:eastAsia="等线" w:hAnsi="Arial" w:cs="Arial"/>
        </w:rPr>
        <w:t>条文全部评价要求，可获得该条文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分满分，能够为绿色建筑设计竞赛申报提供合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的专项设计依据，同时为幼儿园打造安全、有序、便捷、舒适的交通环境，充分契合绿色建筑理念及幼儿园安全设计需求。</w:t>
      </w:r>
    </w:p>
    <w:sectPr w:rsidR="009B643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4D96" w14:textId="77777777" w:rsidR="00C524EB" w:rsidRDefault="00C524E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A01CB4" w14:textId="77777777" w:rsidR="00C524EB" w:rsidRDefault="00C524E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9DFB" w14:textId="77777777" w:rsidR="009B6433" w:rsidRDefault="009B643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259B" w14:textId="77777777" w:rsidR="00C524EB" w:rsidRDefault="00C524E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3567CA" w14:textId="77777777" w:rsidR="00C524EB" w:rsidRDefault="00C524E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55DF" w14:textId="77777777" w:rsidR="009B6433" w:rsidRDefault="009B643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665"/>
    <w:multiLevelType w:val="multilevel"/>
    <w:tmpl w:val="77BE3F2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45E82"/>
    <w:multiLevelType w:val="multilevel"/>
    <w:tmpl w:val="D084D8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53004"/>
    <w:multiLevelType w:val="multilevel"/>
    <w:tmpl w:val="B0C2795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A0C0A"/>
    <w:multiLevelType w:val="multilevel"/>
    <w:tmpl w:val="01CC4AB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7AF2"/>
    <w:multiLevelType w:val="multilevel"/>
    <w:tmpl w:val="F52C46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9F5F9A"/>
    <w:multiLevelType w:val="multilevel"/>
    <w:tmpl w:val="BCDA71E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A47A96"/>
    <w:multiLevelType w:val="multilevel"/>
    <w:tmpl w:val="253233E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C2563"/>
    <w:multiLevelType w:val="multilevel"/>
    <w:tmpl w:val="FB72F78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6926BD"/>
    <w:multiLevelType w:val="multilevel"/>
    <w:tmpl w:val="961A0C2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86777D"/>
    <w:multiLevelType w:val="multilevel"/>
    <w:tmpl w:val="8E1066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DA45B1"/>
    <w:multiLevelType w:val="multilevel"/>
    <w:tmpl w:val="A75E69B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46E28"/>
    <w:multiLevelType w:val="multilevel"/>
    <w:tmpl w:val="98DEEAD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B56FC"/>
    <w:multiLevelType w:val="multilevel"/>
    <w:tmpl w:val="A4108B9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65CB0"/>
    <w:multiLevelType w:val="multilevel"/>
    <w:tmpl w:val="6124283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756CA8"/>
    <w:multiLevelType w:val="multilevel"/>
    <w:tmpl w:val="89C268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B02FF3"/>
    <w:multiLevelType w:val="multilevel"/>
    <w:tmpl w:val="7C460C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DC572A"/>
    <w:multiLevelType w:val="multilevel"/>
    <w:tmpl w:val="79A084E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E63FBC"/>
    <w:multiLevelType w:val="multilevel"/>
    <w:tmpl w:val="9154B9C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B9326B"/>
    <w:multiLevelType w:val="multilevel"/>
    <w:tmpl w:val="C9F40F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0D3807"/>
    <w:multiLevelType w:val="multilevel"/>
    <w:tmpl w:val="232477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2851A5"/>
    <w:multiLevelType w:val="multilevel"/>
    <w:tmpl w:val="F1C47D0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682F91"/>
    <w:multiLevelType w:val="multilevel"/>
    <w:tmpl w:val="37004F2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342B81"/>
    <w:multiLevelType w:val="multilevel"/>
    <w:tmpl w:val="764811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126ACA"/>
    <w:multiLevelType w:val="multilevel"/>
    <w:tmpl w:val="4C38591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7F3E2A"/>
    <w:multiLevelType w:val="multilevel"/>
    <w:tmpl w:val="183CF47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CF75A7"/>
    <w:multiLevelType w:val="multilevel"/>
    <w:tmpl w:val="C520124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6A40AE"/>
    <w:multiLevelType w:val="multilevel"/>
    <w:tmpl w:val="1EE0D90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4D4935"/>
    <w:multiLevelType w:val="multilevel"/>
    <w:tmpl w:val="8E4677C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CE246A"/>
    <w:multiLevelType w:val="multilevel"/>
    <w:tmpl w:val="538A48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F11F7E"/>
    <w:multiLevelType w:val="multilevel"/>
    <w:tmpl w:val="CC3A4138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306E63"/>
    <w:multiLevelType w:val="multilevel"/>
    <w:tmpl w:val="457AE1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2F044F"/>
    <w:multiLevelType w:val="multilevel"/>
    <w:tmpl w:val="092EAC5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FC5B7D"/>
    <w:multiLevelType w:val="multilevel"/>
    <w:tmpl w:val="0F9AF6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672A15"/>
    <w:multiLevelType w:val="multilevel"/>
    <w:tmpl w:val="614E70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B54ECD"/>
    <w:multiLevelType w:val="multilevel"/>
    <w:tmpl w:val="CD84BD6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66459B"/>
    <w:multiLevelType w:val="multilevel"/>
    <w:tmpl w:val="2DAA2FC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8D0AE7"/>
    <w:multiLevelType w:val="multilevel"/>
    <w:tmpl w:val="F3385BA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8773430">
    <w:abstractNumId w:val="13"/>
  </w:num>
  <w:num w:numId="2" w16cid:durableId="1851674129">
    <w:abstractNumId w:val="6"/>
  </w:num>
  <w:num w:numId="3" w16cid:durableId="18627514">
    <w:abstractNumId w:val="12"/>
  </w:num>
  <w:num w:numId="4" w16cid:durableId="1673988697">
    <w:abstractNumId w:val="21"/>
  </w:num>
  <w:num w:numId="5" w16cid:durableId="361054642">
    <w:abstractNumId w:val="17"/>
  </w:num>
  <w:num w:numId="6" w16cid:durableId="717898114">
    <w:abstractNumId w:val="34"/>
  </w:num>
  <w:num w:numId="7" w16cid:durableId="2108767645">
    <w:abstractNumId w:val="14"/>
  </w:num>
  <w:num w:numId="8" w16cid:durableId="984356643">
    <w:abstractNumId w:val="19"/>
  </w:num>
  <w:num w:numId="9" w16cid:durableId="579485927">
    <w:abstractNumId w:val="24"/>
  </w:num>
  <w:num w:numId="10" w16cid:durableId="1541354574">
    <w:abstractNumId w:val="7"/>
  </w:num>
  <w:num w:numId="11" w16cid:durableId="1616673667">
    <w:abstractNumId w:val="26"/>
  </w:num>
  <w:num w:numId="12" w16cid:durableId="1190803059">
    <w:abstractNumId w:val="20"/>
  </w:num>
  <w:num w:numId="13" w16cid:durableId="273482743">
    <w:abstractNumId w:val="0"/>
  </w:num>
  <w:num w:numId="14" w16cid:durableId="1284773461">
    <w:abstractNumId w:val="29"/>
  </w:num>
  <w:num w:numId="15" w16cid:durableId="53088315">
    <w:abstractNumId w:val="4"/>
  </w:num>
  <w:num w:numId="16" w16cid:durableId="968821405">
    <w:abstractNumId w:val="33"/>
  </w:num>
  <w:num w:numId="17" w16cid:durableId="1600213017">
    <w:abstractNumId w:val="2"/>
  </w:num>
  <w:num w:numId="18" w16cid:durableId="1515875750">
    <w:abstractNumId w:val="22"/>
  </w:num>
  <w:num w:numId="19" w16cid:durableId="1733117121">
    <w:abstractNumId w:val="36"/>
  </w:num>
  <w:num w:numId="20" w16cid:durableId="1203711257">
    <w:abstractNumId w:val="18"/>
  </w:num>
  <w:num w:numId="21" w16cid:durableId="1514689827">
    <w:abstractNumId w:val="10"/>
  </w:num>
  <w:num w:numId="22" w16cid:durableId="205459615">
    <w:abstractNumId w:val="28"/>
  </w:num>
  <w:num w:numId="23" w16cid:durableId="320616966">
    <w:abstractNumId w:val="3"/>
  </w:num>
  <w:num w:numId="24" w16cid:durableId="1989359663">
    <w:abstractNumId w:val="5"/>
  </w:num>
  <w:num w:numId="25" w16cid:durableId="1150902735">
    <w:abstractNumId w:val="31"/>
  </w:num>
  <w:num w:numId="26" w16cid:durableId="2045475875">
    <w:abstractNumId w:val="1"/>
  </w:num>
  <w:num w:numId="27" w16cid:durableId="1970625834">
    <w:abstractNumId w:val="27"/>
  </w:num>
  <w:num w:numId="28" w16cid:durableId="920456122">
    <w:abstractNumId w:val="9"/>
  </w:num>
  <w:num w:numId="29" w16cid:durableId="20907341">
    <w:abstractNumId w:val="35"/>
  </w:num>
  <w:num w:numId="30" w16cid:durableId="1564218108">
    <w:abstractNumId w:val="16"/>
  </w:num>
  <w:num w:numId="31" w16cid:durableId="826701251">
    <w:abstractNumId w:val="25"/>
  </w:num>
  <w:num w:numId="32" w16cid:durableId="1012222606">
    <w:abstractNumId w:val="8"/>
  </w:num>
  <w:num w:numId="33" w16cid:durableId="748188100">
    <w:abstractNumId w:val="32"/>
  </w:num>
  <w:num w:numId="34" w16cid:durableId="128867522">
    <w:abstractNumId w:val="23"/>
  </w:num>
  <w:num w:numId="35" w16cid:durableId="507670170">
    <w:abstractNumId w:val="11"/>
  </w:num>
  <w:num w:numId="36" w16cid:durableId="1480268975">
    <w:abstractNumId w:val="30"/>
  </w:num>
  <w:num w:numId="37" w16cid:durableId="7996901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433"/>
    <w:rsid w:val="008A2252"/>
    <w:rsid w:val="009B6433"/>
    <w:rsid w:val="00A11D06"/>
    <w:rsid w:val="00C5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C34AB"/>
  <w15:docId w15:val="{D93E1382-FD10-48DD-B176-CA82B90A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2720</Words>
  <Characters>2885</Characters>
  <Application>Microsoft Office Word</Application>
  <DocSecurity>0</DocSecurity>
  <Lines>96</Lines>
  <Paragraphs>73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2026-03-21T11:54:00Z</dcterms:created>
  <dcterms:modified xsi:type="dcterms:W3CDTF">2026-03-21T11:56:00Z</dcterms:modified>
</cp:coreProperties>
</file>