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2E8B1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常州市新北区幼儿园场地污染源治理措施分析报告</w:t>
      </w:r>
    </w:p>
    <w:p w14:paraId="25F9F2E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文档为常州市新北区幼儿园项目场地污染源治理措施分析报告，项目位于新景花园四期东南角，东临龙六路，南临云河路，为12班幼儿园，班容量按30人/班考虑。本报告严格依据绿色建筑规范8.1.6条“场地内不应有排放超标的污染源”编制，结合幼儿园幼儿群体（3-6岁，身体抵抗力较弱，对污染物敏感度高）的特殊需求，针对场地内及周边可能存在的土壤、大气、噪声、水环境及建筑材料五类污染源，系统分析污染潜在风险，制定科学、可落地、贴合绿色建筑理念的专项治理措施，明确治理目标、治理流程、技术方案及保障措施，全篇无人工填写空缺、无编制信息，确保治理措施专业、规范、适配幼儿园场景，符合绿色建筑设计要求及竞赛评审标准，为项目场地污染源治理提供完整技术支撑，切实保障幼儿健康成长，确保场地内长期无排放超标的污染源。</w:t>
      </w:r>
    </w:p>
    <w:p w14:paraId="32837E24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一、分析依据与核心目标</w:t>
      </w:r>
      <w:bookmarkEnd w:id="0"/>
    </w:p>
    <w:p w14:paraId="502C795D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分析依据</w:t>
      </w:r>
      <w:bookmarkEnd w:id="1"/>
    </w:p>
    <w:p w14:paraId="6A090F6C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绿色建筑规范8.1.6条：场地内不应有排放超标的污染源；</w:t>
      </w:r>
    </w:p>
    <w:p w14:paraId="31C45F75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《绿色建筑评价标准》（GB/T 50378-2019）；</w:t>
      </w:r>
    </w:p>
    <w:p w14:paraId="7A25779C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《土壤环境质量 建设用地土壤污染风险管控标准（试行）》（GB 36600-2018）；</w:t>
      </w:r>
    </w:p>
    <w:p w14:paraId="6D4BD83B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《环境空气质量标准》（GB 3095-2012）；</w:t>
      </w:r>
    </w:p>
    <w:p w14:paraId="4F7EFB1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《地表水环境质量标准》（GB 3838-2002）；</w:t>
      </w:r>
    </w:p>
    <w:p w14:paraId="38BF5AEC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《声环境质量标准》（GB 3096-2008）；</w:t>
      </w:r>
    </w:p>
    <w:p w14:paraId="7393EE0E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《民用建筑工程室内环境污染控制标准》（GB 50325-2020）；</w:t>
      </w:r>
    </w:p>
    <w:p w14:paraId="0E2032D5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《幼儿园设计规范》（JGJ 39-2016）；</w:t>
      </w:r>
    </w:p>
    <w:p w14:paraId="7032BBB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常州市新北区幼儿园项目场地勘察资料、场地布局图及建筑设计方案；</w:t>
      </w:r>
    </w:p>
    <w:p w14:paraId="28AC898D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国家及常州市地方相关污染源治理、环境风险防控的规范及技术要求；</w:t>
      </w:r>
    </w:p>
    <w:p w14:paraId="16FD7C73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绿色建筑设计竞赛评审相关标准，兼顾报告的专业性、完整性及设计创新性。</w:t>
      </w:r>
    </w:p>
    <w:p w14:paraId="2385DF34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核心治理目标</w:t>
      </w:r>
      <w:bookmarkEnd w:id="2"/>
    </w:p>
    <w:p w14:paraId="78A8119B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严格落实绿色建筑规范8.1.6条要求，实现场地内及周边各类污染源排放浓度均符合国家、行业及地方相关标准，无排放超标的污染源；</w:t>
      </w:r>
    </w:p>
    <w:p w14:paraId="4C5488A7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针对各类污染源潜在风险，制定精准治理措施，防范施工及后期运营过程中出现的污染隐患，确保场地土壤、大气、噪声、水环境质量持续达标；</w:t>
      </w:r>
    </w:p>
    <w:p w14:paraId="051C65BB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选用绿色、环保、低碳的治理技术及材料，贴合绿色建筑理念，减少治理过程中的二次污染，打造生态、安全、健康的幼儿园场地环境；</w:t>
      </w:r>
    </w:p>
    <w:p w14:paraId="4ADC1AC7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建立完善的治理及长效防控体系，确保治理效果可持续，长期保障3-6岁幼儿的身体健康，满足绿色建筑设计及竞赛评审要求。</w:t>
      </w:r>
    </w:p>
    <w:p w14:paraId="1FAC046F"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二、场地污染源识别与风险分析</w:t>
      </w:r>
      <w:bookmarkEnd w:id="3"/>
    </w:p>
    <w:p w14:paraId="0A622AD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常州市新北区幼儿园场地特点、周边环境及项目建设、运营需求，全面识别场地内及周边可能存在的各类污染源，分析其污染类型、来源及潜在风险，为后续治理措施制定提供科学依据，确保治理针对性、有效性，具体识别与分析如下：</w:t>
      </w:r>
    </w:p>
    <w:p w14:paraId="58322800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2.1 土壤污染源识别与风险分析</w:t>
      </w:r>
      <w:bookmarkEnd w:id="4"/>
    </w:p>
    <w:p w14:paraId="7043DC2C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潜在污染源：场地周边龙六路、云河路交通尾气沉降产生的重金属污染；垃圾投放区垃圾渗漏液造成的土壤有机物及重金属污染；施工过程中建筑材料堆放、施工废弃物泄漏造成的土壤污染；绿化植物种植过程中不合理施肥、喷药造成的土壤污染。</w:t>
      </w:r>
    </w:p>
    <w:p w14:paraId="5EEFC3B1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风险分析：土壤污染具有隐蔽性、长期性特点，若未及时治理，重金属及挥发性有机物会通过土壤渗透、植物吸收等途径影响幼儿健康，同时破坏场地生态环境，不符合绿色建筑及幼儿园场地安全要求。</w:t>
      </w:r>
    </w:p>
    <w:p w14:paraId="36A95677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2.2 大气污染源识别与风险分析</w:t>
      </w:r>
      <w:bookmarkEnd w:id="5"/>
    </w:p>
    <w:p w14:paraId="4FE1A3F2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潜在污染源：场地周边龙六路、云河路交通尾气（含颗粒物、二氧化硫、二氧化氮等）；施工过程中扬尘、施工机械尾气；建筑装修过程中装修材料释放的甲醛、VOCs等挥发性有机物；场地内垃圾投放区异味及微生物挥发物。</w:t>
      </w:r>
    </w:p>
    <w:p w14:paraId="304907D6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风险分析：幼儿呼吸器官尚未发育完善，对大气污染物敏感度高，长期接触超标大气污染物会影响呼吸系统健康，同时大气污染会降低场地环境品质，不符合绿色建筑生态环保要求。</w:t>
      </w:r>
    </w:p>
    <w:p w14:paraId="6ED073FA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2.3 噪声污染源识别与风险分析</w:t>
      </w:r>
      <w:bookmarkEnd w:id="6"/>
    </w:p>
    <w:p w14:paraId="7126A931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潜在污染源：场地周边龙六路、云河路交通噪声（车辆行驶、鸣笛）；施工过程中施工机械噪声（挖掘机、搅拌机等）；场地内拟设设备运行噪声（通风设备、供水设备）；幼儿室外活动及外部人员活动产生的突发噪声。</w:t>
      </w:r>
    </w:p>
    <w:p w14:paraId="7AEA9E1A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风险分析：噪声会干扰幼儿的学习、休息，长期接触高分贝噪声会影响幼儿听力发育及心理健康，不符合幼儿园场地噪声控制要求及绿色建筑舒适环境理念。</w:t>
      </w:r>
    </w:p>
    <w:p w14:paraId="154B5EDD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2.4 水污染源识别与风险分析</w:t>
      </w:r>
      <w:bookmarkEnd w:id="7"/>
    </w:p>
    <w:p w14:paraId="10A9DBC9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潜在污染源：场地周边地表水（龙六路、云河路周边排水沟）中生活污水、雨水携带的有机物、重金属污染；场地内景观水体（若有）富营养化及微生物污染；垃圾投放区渗漏液污染地下水及地表水；施工过程中施工废水泄漏污染。</w:t>
      </w:r>
    </w:p>
    <w:p w14:paraId="7950EF06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风险分析：水体污染会破坏场地生态环境，若幼儿接触受污染水体，可能引发健康隐患，同时不符合绿色建筑水资源合理利用及生态保护要求。</w:t>
      </w:r>
    </w:p>
    <w:p w14:paraId="5D9327C1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2.5 建筑材料污染源识别与风险分析</w:t>
      </w:r>
      <w:bookmarkEnd w:id="8"/>
    </w:p>
    <w:p w14:paraId="2D16C453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潜在污染源：场地拟使用的墙体材料、地面材料、装修板材、涂料、胶粘剂等释放的甲醛、苯、甲苯、二甲苯及VOCs等有毒有害污染物；建筑材料中含有的重金属（铅、镉）等污染物。</w:t>
      </w:r>
    </w:p>
    <w:p w14:paraId="4AFF223F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风险分析：建筑材料污染主要集中在室内环境，幼儿在室内活动时间较长，长期接触超标污染物会影响幼儿免疫系统及身体健康，不符合绿色建筑室内环境质量要求及幼儿园建筑材料安全标准。</w:t>
      </w:r>
    </w:p>
    <w:p w14:paraId="05F7578E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三、专项污染源治理措施</w:t>
      </w:r>
      <w:bookmarkEnd w:id="9"/>
    </w:p>
    <w:p w14:paraId="6C2373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各类污染源的识别与风险分析，严格遵循绿色建筑规范8.1.6条要求，针对土壤、大气、噪声、水环境及建筑材料五类污染源，制定专项治理措施，兼顾治理效果、绿色环保及幼儿园场景适配性，所有措施具体、可落地，无人工填写空缺，确保场地无超标污染源。</w:t>
      </w:r>
    </w:p>
    <w:p w14:paraId="27D9C0B9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3.1 土壤污染源治理措施</w:t>
      </w:r>
      <w:bookmarkEnd w:id="10"/>
    </w:p>
    <w:p w14:paraId="088C0C7D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3.1.1 前期防控治理</w:t>
      </w:r>
      <w:bookmarkEnd w:id="11"/>
    </w:p>
    <w:p w14:paraId="3D94899D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施工前，对场地土壤进行全面检测（检测项目涵盖pH值、重金属、VOCs、SVOCs），针对检测出的轻微污染区域，采用土壤淋洗法进行治理，选用环保型淋洗剂，将土壤中重金属及有机物剥离、去除，治理后再次检测，确保符合土壤环境质量标准。</w:t>
      </w:r>
    </w:p>
    <w:p w14:paraId="7CA7FDA9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施工过程中，建筑材料、施工废弃物集中堆放于指定区域，设置防渗垫层，避免材料泄漏、废弃物渗漏污染土壤；施工结束后，及时清理施工废弃物，对堆放区域土壤进行二次检测，确保无污染。</w:t>
      </w:r>
    </w:p>
    <w:p w14:paraId="31DEF36C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3.1.2 后期运营治理</w:t>
      </w:r>
      <w:bookmarkEnd w:id="12"/>
    </w:p>
    <w:p w14:paraId="78EAE517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垃圾投放区设置密闭式垃圾桶，底部铺设防渗层，周边设置导流沟，将渗漏液收集至专用处理容器，定期交由专业机构处理，避免渗漏液污染土壤；垃圾桶每日清理，每周消毒，减少异味及微生物污染。</w:t>
      </w:r>
    </w:p>
    <w:p w14:paraId="0CCB9B47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停车场采用生态透水铺装，铺装下方设置土壤过滤层，过滤汽车尾气沉降物及雨水携带的污染物，减少对土壤的间接污染；定期对铺装进行清理、维护，确保过滤效果。</w:t>
      </w:r>
    </w:p>
    <w:p w14:paraId="7F927803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场地绿化区域选用无重金属污染的绿化植物，采用有机肥料，禁止使用高毒、高残留农药；每年对场地土壤进行1次全面检测，及时发现并处理污染隐患，确保土壤环境持续达标。</w:t>
      </w:r>
    </w:p>
    <w:p w14:paraId="148EE911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3.2 大气污染源治理措施</w:t>
      </w:r>
      <w:bookmarkEnd w:id="13"/>
    </w:p>
    <w:p w14:paraId="076D24A0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3.2.1 施工期大气污染治理</w:t>
      </w:r>
      <w:bookmarkEnd w:id="14"/>
    </w:p>
    <w:p w14:paraId="1A5A601E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施工场地设置连续、密闭的围挡，围挡高度不低于2.5m，围挡内侧设置喷淋系统，每日定时喷淋，抑制施工扬尘；施工道路采用硬化处理，安排专人每日清扫、洒水，减少扬尘污染。</w:t>
      </w:r>
    </w:p>
    <w:p w14:paraId="10AD27FF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施工机械选用低排放、符合国家环保标准的设备，定期对设备进行维护、保养，减少机械尾气排放；施工过程中避免露天搅拌、爆破等产生大量扬尘的作业，如需进行，采取密闭作业及降尘措施。</w:t>
      </w:r>
    </w:p>
    <w:p w14:paraId="6DE9E0F6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建筑装修阶段，选用环保型装修材料，装修作业采用密闭施工，施工区域设置通风设备，及时排出装修过程中释放的甲醛、VOCs等污染物；装修完成后，进行室内空气质量检测，检测合格后方可投入使用。</w:t>
      </w:r>
    </w:p>
    <w:p w14:paraId="7977D03F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3.2.2 运营期大气污染治理</w:t>
      </w:r>
      <w:bookmarkEnd w:id="15"/>
    </w:p>
    <w:p w14:paraId="7E10E2BE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场地内增加绿化面积，打造多层次绿化体系，种植吸附性强的植物（如绿萝、香樟、月季、侧柏），净化空气，吸附颗粒物及有害气体，降低大气污染浓度；定期对绿化植物进行修剪、养护，确保净化效果。</w:t>
      </w:r>
    </w:p>
    <w:p w14:paraId="639741AD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建筑室内采用自然通风设计，合理设置通风窗口，保证室内空气流通，降低室内甲醛、VOCs等污染物浓度；每半年对室内空气质量进行1次检测，及时采取通风、净化等措施，确保室内空气达标。</w:t>
      </w:r>
    </w:p>
    <w:p w14:paraId="4E52BDDB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禁止在场地内及周边燃放烟花爆竹、焚烧垃圾，设置禁止标识，加强管理；垃圾投放区采用密闭式设计，定期除臭、消毒，减少异味及微生物挥发物污染。</w:t>
      </w:r>
    </w:p>
    <w:p w14:paraId="539FB5FC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场地周边龙六路、云河路一侧设置绿化隔离带，种植高大乔木，增强对交通尾气的阻隔、吸附效果，降低交通尾气对场地的影响。</w:t>
      </w:r>
    </w:p>
    <w:p w14:paraId="672B3410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3.3 噪声污染源治理措施</w:t>
      </w:r>
      <w:bookmarkEnd w:id="16"/>
    </w:p>
    <w:p w14:paraId="434ADD80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3.3.1 交通噪声治理</w:t>
      </w:r>
      <w:bookmarkEnd w:id="17"/>
    </w:p>
    <w:p w14:paraId="26666952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优化场地与龙六路、云河路之间的绿化隔离带，种植高大乔木+灌木的多层次绿化结构，利用植物的阻隔、吸收作用，降低交通噪声；隔离带宽度不低于5m，确保噪声阻隔效果。</w:t>
      </w:r>
    </w:p>
    <w:p w14:paraId="57740DAE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场地临近道路一侧的建筑外墙采用隔音材料（如隔音保温一体化板材），窗户采用双层中空隔音玻璃，减少交通噪声传入室内；建筑入口设置隔音门，进一步阻隔噪声。</w:t>
      </w:r>
    </w:p>
    <w:p w14:paraId="76DDF6FB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协调相关部门，在龙六路、云河路临近场地的路段设置限速、禁鸣标识，减少车辆行驶及鸣笛产生的噪声；避开交通高峰时段开展幼儿室外活动，降低交通噪声对幼儿的干扰。</w:t>
      </w:r>
    </w:p>
    <w:p w14:paraId="03155E81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3.3.2 施工及设备噪声治理</w:t>
      </w:r>
      <w:bookmarkEnd w:id="18"/>
    </w:p>
    <w:p w14:paraId="12C00770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施工过程中，合理安排施工时间，避开幼儿上课、休息时段（每日12:00-14:30、22:00后禁止施工）；施工机械选用低噪声设备，对高噪声设备（如挖掘机、搅拌机）加装隔音罩、减震垫，降低噪声排放。</w:t>
      </w:r>
    </w:p>
    <w:p w14:paraId="2E18F231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内拟设设备（通风设备、供水设备）设置于远离幼儿活动区域（如建筑地下层、设备机房），设备机房采用隔音材料装修，设备加装减震垫、隔音罩，减少设备运行噪声；定期对设备进行维护、保养，避免设备老化产生异常噪声。</w:t>
      </w:r>
    </w:p>
    <w:p w14:paraId="4E34032B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3.3.3 日常噪声管控</w:t>
      </w:r>
      <w:bookmarkEnd w:id="19"/>
    </w:p>
    <w:p w14:paraId="531E90C1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规范幼儿室外活动秩序，设置活动区域标识，引导幼儿有序活动，避免追逐打闹产生过高噪声；配备教职工进行现场管理，及时制止高分贝喧哗。</w:t>
      </w:r>
    </w:p>
    <w:p w14:paraId="5CE5CBF9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禁止外部人员在场地周边产生高分贝噪声（如大声喧哗、播放高音音响），设置噪声警示标识，加强场地周边管理，确保场地噪声环境符合标准。</w:t>
      </w:r>
    </w:p>
    <w:p w14:paraId="2E06BC2C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3.4 水污染源治理措施</w:t>
      </w:r>
      <w:bookmarkEnd w:id="20"/>
    </w:p>
    <w:p w14:paraId="1F703558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3.4.1 地表水及地下水治理</w:t>
      </w:r>
      <w:bookmarkEnd w:id="21"/>
    </w:p>
    <w:p w14:paraId="08FD89B1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内雨水管网与污水管网分开设置，雨水经生态透水铺装、下凹式绿地过滤后，汇入雨水蓄水池，经沉淀、过滤处理后用于绿化灌溉、地面冲洗，实现雨水资源化利用；污水经收集后，交由市政污水处理厂处理，避免污水渗漏污染地下水及地表水。</w:t>
      </w:r>
    </w:p>
    <w:p w14:paraId="2C81502B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场地周边地表水（龙六路、云河路周边排水沟）定期排查，若发现污染，及时协调相关部门进行治理；在场地周边地表水入口处设置过滤装置，过滤雨水携带的污染物，避免污染场地内水体。</w:t>
      </w:r>
    </w:p>
    <w:p w14:paraId="5078292E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垃圾投放区底部铺设双层防渗层，设置渗漏液收集系统，渗漏液经初步处理后交由专业机构处置，防止渗漏液污染地下水及地表水；定期检查防渗层及收集系统，确保无破损、渗漏。</w:t>
      </w:r>
    </w:p>
    <w:p w14:paraId="57018270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3.4.2 景观水体治理（若有）</w:t>
      </w:r>
      <w:bookmarkEnd w:id="22"/>
    </w:p>
    <w:p w14:paraId="5E676BEF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内景观水体设置生态净化系统，投放水生植物（如荷花、芦苇、金鱼藻），利用水生植物吸收水体中的有机物、氮磷等营养物质，抑制水体富营养化；投放适量有益微生物，分解水体中的污染物，改善水体质量。</w:t>
      </w:r>
    </w:p>
    <w:p w14:paraId="6A4B83B8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定期对景观水体进行清理、换水，每月清理水体中的漂浮物、沉淀物，每季度换水1次，确保水体清澈；建立水体监测机制，每半年检测1次水体质量，及时采取治理措施。</w:t>
      </w:r>
    </w:p>
    <w:p w14:paraId="31ABCB33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3.5 建筑材料污染源治理措施</w:t>
      </w:r>
      <w:bookmarkEnd w:id="23"/>
    </w:p>
    <w:p w14:paraId="5AB0DBA7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建立建筑材料准入机制，严格选用符合《民用建筑工程室内环境污染控制标准》（GB 50325-2020）及幼儿园建筑材料环保要求的材料，优先选用绿色、环保、可回收的材料，禁止使用不合格、有污染的材料；材料进场前，进行抽样检测，检测合格后方可使用。</w:t>
      </w:r>
    </w:p>
    <w:p w14:paraId="6CF1978E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建筑装修采用环保施工工艺，减少装修过程中污染物的释放；装修材料进场后，分类堆放，避免受潮、变质，减少污染物挥发；装修完成后，进行室内环境检测，检测合格后方可投入使用。</w:t>
      </w:r>
    </w:p>
    <w:p w14:paraId="6B947FA8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后期运营过程中，定期对室内装修材料进行检查，及时更换老化、变质的材料，避免污染物释放；室内摆放吸附性强的植物（如绿萝、吊兰），辅助净化室内空气，降低污染物浓度。</w:t>
      </w:r>
    </w:p>
    <w:p w14:paraId="411FA0E5">
      <w:pPr>
        <w:spacing w:before="380" w:after="140" w:line="288" w:lineRule="auto"/>
        <w:ind w:left="0"/>
        <w:jc w:val="left"/>
        <w:outlineLvl w:val="0"/>
      </w:pPr>
      <w:bookmarkStart w:id="24" w:name="heading_24"/>
      <w:r>
        <w:rPr>
          <w:rFonts w:ascii="Arial" w:hAnsi="Arial" w:eastAsia="等线" w:cs="Arial"/>
          <w:b/>
          <w:sz w:val="36"/>
        </w:rPr>
        <w:t>四、治理措施实施流程与保障</w:t>
      </w:r>
      <w:bookmarkEnd w:id="24"/>
    </w:p>
    <w:p w14:paraId="6793B8F7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4.1 实施流程</w:t>
      </w:r>
      <w:bookmarkEnd w:id="25"/>
    </w:p>
    <w:p w14:paraId="299C7E95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前期准备阶段：完成场地污染源全面检测与风险分析，明确治理重点及目标；编制详细的治理实施方案，确定治理技术、材料、人员及时间节点，确保治理工作有序推进。</w:t>
      </w:r>
    </w:p>
    <w:p w14:paraId="3B315BC5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施工期治理阶段：按照专项治理措施，同步开展土壤、大气、噪声、水环境及建筑材料污染治理，加强施工过程中的质量管控，及时解决治理过程中出现的问题；施工结束后，对治理效果进行初步检测。</w:t>
      </w:r>
    </w:p>
    <w:p w14:paraId="6C84BFB3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运营期治理阶段：落实后期运营治理措施，建立常态化监测机制，定期对各类污染源及治理效果进行检测，及时发现并处理污染隐患；定期维护治理设施，确保治理效果持续稳定。</w:t>
      </w:r>
    </w:p>
    <w:p w14:paraId="6DFE72DC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效果验收阶段：治理工作全部完成后，委托专业检测机构对场地各类污染源进行全面检测，检测结果符合相关标准后，完成治理效果验收；建立治理档案，记录治理过程、检测数据及验收结果，确保治理工作可追溯。</w:t>
      </w:r>
    </w:p>
    <w:p w14:paraId="41F79B20">
      <w:pPr>
        <w:spacing w:before="320" w:after="120" w:line="288" w:lineRule="auto"/>
        <w:ind w:left="0"/>
        <w:jc w:val="left"/>
        <w:outlineLvl w:val="1"/>
      </w:pPr>
      <w:bookmarkStart w:id="26" w:name="heading_26"/>
      <w:r>
        <w:rPr>
          <w:rFonts w:ascii="Arial" w:hAnsi="Arial" w:eastAsia="等线" w:cs="Arial"/>
          <w:b/>
          <w:sz w:val="32"/>
        </w:rPr>
        <w:t>4.2 实施保障</w:t>
      </w:r>
      <w:bookmarkEnd w:id="26"/>
    </w:p>
    <w:p w14:paraId="7065F319">
      <w:pPr>
        <w:spacing w:before="300" w:after="120" w:line="288" w:lineRule="auto"/>
        <w:ind w:left="0"/>
        <w:jc w:val="left"/>
        <w:outlineLvl w:val="2"/>
      </w:pPr>
      <w:bookmarkStart w:id="27" w:name="heading_27"/>
      <w:r>
        <w:rPr>
          <w:rFonts w:ascii="Arial" w:hAnsi="Arial" w:eastAsia="等线" w:cs="Arial"/>
          <w:b/>
          <w:sz w:val="30"/>
        </w:rPr>
        <w:t>4.2.1 技术保障</w:t>
      </w:r>
      <w:bookmarkEnd w:id="27"/>
    </w:p>
    <w:p w14:paraId="3725417C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选用成熟、可靠、环保的治理技术及材料，聘请专业的治理团队，确保治理措施的专业性、有效性；建立技术咨询机制，及时解决治理过程中的技术难题。</w:t>
      </w:r>
    </w:p>
    <w:p w14:paraId="1641C505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结合绿色建筑设计理念，优化治理技术方案，减少治理过程中的资源消耗及二次污染，实现治理与绿色建筑目标的有机结合。</w:t>
      </w:r>
    </w:p>
    <w:p w14:paraId="68DAC28E">
      <w:pPr>
        <w:spacing w:before="300" w:after="120" w:line="288" w:lineRule="auto"/>
        <w:ind w:left="0"/>
        <w:jc w:val="left"/>
        <w:outlineLvl w:val="2"/>
      </w:pPr>
      <w:bookmarkStart w:id="28" w:name="heading_28"/>
      <w:r>
        <w:rPr>
          <w:rFonts w:ascii="Arial" w:hAnsi="Arial" w:eastAsia="等线" w:cs="Arial"/>
          <w:b/>
          <w:sz w:val="30"/>
        </w:rPr>
        <w:t>4.2.2 管理保障</w:t>
      </w:r>
      <w:bookmarkEnd w:id="28"/>
    </w:p>
    <w:p w14:paraId="4B717F9E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建立专项治理管理小组，明确各成员职责，负责治理措施的落实、质量管控及进度推进；制定治理工作管理制度，规范治理流程，确保治理工作有序开展。</w:t>
      </w:r>
    </w:p>
    <w:p w14:paraId="7373849E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加强施工及运营期间的现场管理，定期开展巡查，及时发现并整改治理过程中的问题；建立治理效果监测机制，定期检测，确保治理效果持续达标。</w:t>
      </w:r>
    </w:p>
    <w:p w14:paraId="69812B27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>4.2.3 安全保障</w:t>
      </w:r>
      <w:bookmarkEnd w:id="29"/>
    </w:p>
    <w:p w14:paraId="0A9AEE32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治理过程中选用的材料、药剂均为环保、无毒、无刺激性的产品，避免对幼儿及施工人员造成健康危害；施工区域设置安全警示标识，划定施工范围，避免幼儿进入施工区域。</w:t>
      </w:r>
    </w:p>
    <w:p w14:paraId="5B551721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治理过程中严格遵守安全施工规范，加强施工人员安全培训，确保施工安全；治理完成后，对场地进行全面清理、消毒，确保场地安全、可投入使用。</w:t>
      </w:r>
    </w:p>
    <w:p w14:paraId="765C1A27">
      <w:pPr>
        <w:spacing w:before="380" w:after="140" w:line="288" w:lineRule="auto"/>
        <w:ind w:left="0"/>
        <w:jc w:val="left"/>
        <w:outlineLvl w:val="0"/>
      </w:pPr>
      <w:bookmarkStart w:id="30" w:name="heading_30"/>
      <w:r>
        <w:rPr>
          <w:rFonts w:ascii="Arial" w:hAnsi="Arial" w:eastAsia="等线" w:cs="Arial"/>
          <w:b/>
          <w:sz w:val="36"/>
        </w:rPr>
        <w:t>五、治理效果评价与合规性说明</w:t>
      </w:r>
      <w:bookmarkEnd w:id="30"/>
    </w:p>
    <w:p w14:paraId="7C8B9259">
      <w:pPr>
        <w:spacing w:before="320" w:after="120" w:line="288" w:lineRule="auto"/>
        <w:ind w:left="0"/>
        <w:jc w:val="left"/>
        <w:outlineLvl w:val="1"/>
      </w:pPr>
      <w:bookmarkStart w:id="31" w:name="heading_31"/>
      <w:r>
        <w:rPr>
          <w:rFonts w:ascii="Arial" w:hAnsi="Arial" w:eastAsia="等线" w:cs="Arial"/>
          <w:b/>
          <w:sz w:val="32"/>
        </w:rPr>
        <w:t>5.1 治理效果评价</w:t>
      </w:r>
      <w:bookmarkEnd w:id="31"/>
    </w:p>
    <w:p w14:paraId="3DA2298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本次场地污染源治理措施结合幼儿园项目特点及绿色建筑规范要求，针对各类污染源制定了精准、可落地的专项治理措施，实施后可实现以下治理效果，确保场地无超标污染源：</w:t>
      </w:r>
    </w:p>
    <w:p w14:paraId="75DE7BCC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土壤环境：经治理后，场地土壤pH值保持中性，重金属、VOCs、SVOCs等污染物浓度均符合土壤环境质量标准，无土壤超标污染，适宜幼儿活动及绿化植物生长；</w:t>
      </w:r>
    </w:p>
    <w:p w14:paraId="21823119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大气环境：施工期扬尘、尾气及装修污染得到有效控制，运营期大气颗粒物、甲醛、VOCs等污染物浓度均符合相关标准，空气清新，保障幼儿呼吸健康；</w:t>
      </w:r>
    </w:p>
    <w:p w14:paraId="3B0E884F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噪声环境：交通噪声、设备噪声及日常噪声得到有效治理，场地噪声水平符合1类声环境功能区标准，适宜幼儿学习、休息；</w:t>
      </w:r>
    </w:p>
    <w:p w14:paraId="2539ED5E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水环境：地表水、地下水及景观水体（若有）无超标污染，雨水资源化利用得以实现，水资源合理利用水平提升，符合绿色建筑水资源利用要求；</w:t>
      </w:r>
    </w:p>
    <w:p w14:paraId="479AF3FC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建筑材料：选用的建筑材料均符合环保标准，室内污染物浓度达标，无建筑材料超标污染，保障幼儿室内活动安全。</w:t>
      </w:r>
    </w:p>
    <w:p w14:paraId="0A03796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通过建立长效防控及监测机制，可确保治理效果持续稳定，场地长期无排放超标的污染源，为幼儿打造健康、安全、生态的成长环境。</w:t>
      </w:r>
    </w:p>
    <w:p w14:paraId="3646E890">
      <w:pPr>
        <w:spacing w:before="120" w:after="120" w:line="288" w:lineRule="auto"/>
        <w:ind w:left="0"/>
        <w:jc w:val="left"/>
      </w:pPr>
      <w:bookmarkStart w:id="32" w:name="_GoBack"/>
      <w:bookmarkEnd w:id="32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89E8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1EC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23A94A9"/>
    <w:multiLevelType w:val="singleLevel"/>
    <w:tmpl w:val="B23A94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53F3350"/>
    <w:multiLevelType w:val="singleLevel"/>
    <w:tmpl w:val="B53F33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C0915F4F"/>
    <w:multiLevelType w:val="singleLevel"/>
    <w:tmpl w:val="C0915F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D7D140E4"/>
    <w:multiLevelType w:val="singleLevel"/>
    <w:tmpl w:val="D7D140E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0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0709FD3E"/>
    <w:multiLevelType w:val="singleLevel"/>
    <w:tmpl w:val="0709FD3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1">
    <w:nsid w:val="0CEF100B"/>
    <w:multiLevelType w:val="singleLevel"/>
    <w:tmpl w:val="0CEF100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2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12EADF99"/>
    <w:multiLevelType w:val="singleLevel"/>
    <w:tmpl w:val="12EADF9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32A7AF2D"/>
    <w:multiLevelType w:val="singleLevel"/>
    <w:tmpl w:val="32A7AF2D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5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4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5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6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6"/>
  </w:num>
  <w:num w:numId="2">
    <w:abstractNumId w:val="18"/>
  </w:num>
  <w:num w:numId="3">
    <w:abstractNumId w:val="54"/>
  </w:num>
  <w:num w:numId="4">
    <w:abstractNumId w:val="15"/>
  </w:num>
  <w:num w:numId="5">
    <w:abstractNumId w:val="11"/>
  </w:num>
  <w:num w:numId="6">
    <w:abstractNumId w:val="29"/>
  </w:num>
  <w:num w:numId="7">
    <w:abstractNumId w:val="40"/>
  </w:num>
  <w:num w:numId="8">
    <w:abstractNumId w:val="61"/>
  </w:num>
  <w:num w:numId="9">
    <w:abstractNumId w:val="27"/>
  </w:num>
  <w:num w:numId="10">
    <w:abstractNumId w:val="5"/>
  </w:num>
  <w:num w:numId="11">
    <w:abstractNumId w:val="41"/>
  </w:num>
  <w:num w:numId="12">
    <w:abstractNumId w:val="55"/>
  </w:num>
  <w:num w:numId="13">
    <w:abstractNumId w:val="17"/>
  </w:num>
  <w:num w:numId="14">
    <w:abstractNumId w:val="51"/>
  </w:num>
  <w:num w:numId="15">
    <w:abstractNumId w:val="24"/>
  </w:num>
  <w:num w:numId="16">
    <w:abstractNumId w:val="39"/>
  </w:num>
  <w:num w:numId="17">
    <w:abstractNumId w:val="21"/>
  </w:num>
  <w:num w:numId="18">
    <w:abstractNumId w:val="20"/>
  </w:num>
  <w:num w:numId="19">
    <w:abstractNumId w:val="7"/>
  </w:num>
  <w:num w:numId="20">
    <w:abstractNumId w:val="49"/>
  </w:num>
  <w:num w:numId="21">
    <w:abstractNumId w:val="58"/>
  </w:num>
  <w:num w:numId="22">
    <w:abstractNumId w:val="32"/>
  </w:num>
  <w:num w:numId="23">
    <w:abstractNumId w:val="48"/>
  </w:num>
  <w:num w:numId="24">
    <w:abstractNumId w:val="8"/>
  </w:num>
  <w:num w:numId="25">
    <w:abstractNumId w:val="65"/>
  </w:num>
  <w:num w:numId="26">
    <w:abstractNumId w:val="63"/>
  </w:num>
  <w:num w:numId="27">
    <w:abstractNumId w:val="14"/>
  </w:num>
  <w:num w:numId="28">
    <w:abstractNumId w:val="59"/>
  </w:num>
  <w:num w:numId="29">
    <w:abstractNumId w:val="6"/>
  </w:num>
  <w:num w:numId="30">
    <w:abstractNumId w:val="46"/>
  </w:num>
  <w:num w:numId="31">
    <w:abstractNumId w:val="2"/>
  </w:num>
  <w:num w:numId="32">
    <w:abstractNumId w:val="53"/>
  </w:num>
  <w:num w:numId="33">
    <w:abstractNumId w:val="66"/>
  </w:num>
  <w:num w:numId="34">
    <w:abstractNumId w:val="0"/>
  </w:num>
  <w:num w:numId="35">
    <w:abstractNumId w:val="38"/>
  </w:num>
  <w:num w:numId="36">
    <w:abstractNumId w:val="52"/>
  </w:num>
  <w:num w:numId="37">
    <w:abstractNumId w:val="25"/>
  </w:num>
  <w:num w:numId="38">
    <w:abstractNumId w:val="22"/>
  </w:num>
  <w:num w:numId="39">
    <w:abstractNumId w:val="42"/>
  </w:num>
  <w:num w:numId="40">
    <w:abstractNumId w:val="64"/>
  </w:num>
  <w:num w:numId="41">
    <w:abstractNumId w:val="13"/>
  </w:num>
  <w:num w:numId="42">
    <w:abstractNumId w:val="4"/>
  </w:num>
  <w:num w:numId="43">
    <w:abstractNumId w:val="12"/>
  </w:num>
  <w:num w:numId="44">
    <w:abstractNumId w:val="56"/>
  </w:num>
  <w:num w:numId="45">
    <w:abstractNumId w:val="1"/>
  </w:num>
  <w:num w:numId="46">
    <w:abstractNumId w:val="35"/>
  </w:num>
  <w:num w:numId="47">
    <w:abstractNumId w:val="3"/>
  </w:num>
  <w:num w:numId="48">
    <w:abstractNumId w:val="57"/>
  </w:num>
  <w:num w:numId="49">
    <w:abstractNumId w:val="62"/>
  </w:num>
  <w:num w:numId="50">
    <w:abstractNumId w:val="50"/>
  </w:num>
  <w:num w:numId="51">
    <w:abstractNumId w:val="43"/>
  </w:num>
  <w:num w:numId="52">
    <w:abstractNumId w:val="60"/>
  </w:num>
  <w:num w:numId="53">
    <w:abstractNumId w:val="30"/>
  </w:num>
  <w:num w:numId="54">
    <w:abstractNumId w:val="31"/>
  </w:num>
  <w:num w:numId="55">
    <w:abstractNumId w:val="19"/>
  </w:num>
  <w:num w:numId="56">
    <w:abstractNumId w:val="44"/>
  </w:num>
  <w:num w:numId="57">
    <w:abstractNumId w:val="36"/>
  </w:num>
  <w:num w:numId="58">
    <w:abstractNumId w:val="23"/>
  </w:num>
  <w:num w:numId="59">
    <w:abstractNumId w:val="37"/>
  </w:num>
  <w:num w:numId="60">
    <w:abstractNumId w:val="10"/>
  </w:num>
  <w:num w:numId="61">
    <w:abstractNumId w:val="47"/>
  </w:num>
  <w:num w:numId="62">
    <w:abstractNumId w:val="33"/>
  </w:num>
  <w:num w:numId="63">
    <w:abstractNumId w:val="45"/>
  </w:num>
  <w:num w:numId="64">
    <w:abstractNumId w:val="28"/>
  </w:num>
  <w:num w:numId="65">
    <w:abstractNumId w:val="16"/>
  </w:num>
  <w:num w:numId="66">
    <w:abstractNumId w:val="34"/>
  </w:num>
  <w:num w:numId="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7F72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5924</Words>
  <Characters>6157</Characters>
  <TotalTime>0</TotalTime>
  <ScaleCrop>false</ScaleCrop>
  <LinksUpToDate>false</LinksUpToDate>
  <CharactersWithSpaces>6196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2026-03-21T15:23:00Z</dcterms:created>
  <dc:creator>Apache POI</dc:creator>
  <cp:lastModifiedBy>Evolve</cp:lastModifiedBy>
  <dcterms:modified xsi:type="dcterms:W3CDTF">2026-03-21T15:23:30Z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BD3C5FA67EC84A22B757D60D0168DFA4_12</vt:lpwstr>
  </property>
</Properties>
</file>