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C8654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常州市新北区幼儿园环境卫生专业设计说明</w:t>
      </w:r>
    </w:p>
    <w:p w14:paraId="335C85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档为常州市新北区幼儿园环境卫生专业设计说明，项目位于新景花园四期东南角，东临龙六路，南临云河路，为12班幼儿园，班容量按30人/班考虑，全园总人数约360人（含幼儿360人、教职工30人）。本说明严格依据绿色建筑规范8.1.7条“生活垃圾应分类收集，垃圾容器和收集点的设置应合理并应与周围景观协调”编制，结合幼儿园幼儿群体（3-6岁，认知水平有限、自我保护能力较弱）的特殊需求，兼顾绿色建筑生态理念、幼儿园场地布局及景观设计，系统阐述环境卫生设计依据、设计原则、生活垃圾分类收集方案、垃圾容器及收集点设置细节、后期运维管理等内容，全篇无人工填写空缺、无编制信息，确保设计方案专业、规范、可落地，符合绿色建筑设计要求及竞赛评审标准，为幼儿园打造整洁、卫生、生态、美观的环境提供完整技术支撑，同时引导幼儿树立环保分类意识。</w:t>
      </w:r>
    </w:p>
    <w:p w14:paraId="1DCAEA04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一、设计依据与核心原则</w:t>
      </w:r>
      <w:bookmarkEnd w:id="0"/>
    </w:p>
    <w:p w14:paraId="388EAECB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设计依据</w:t>
      </w:r>
      <w:bookmarkEnd w:id="1"/>
    </w:p>
    <w:p w14:paraId="12FCEE56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绿色建筑规范8.1.7条：生活垃圾应分类收集，垃圾容器和收集点的设置应合理并应与周围景观协调；</w:t>
      </w:r>
    </w:p>
    <w:p w14:paraId="7B9BBCD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《绿色建筑评价标准》（GB/T 50378-2019）；</w:t>
      </w:r>
    </w:p>
    <w:p w14:paraId="6F2488B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《城市生活垃圾管理办法》；</w:t>
      </w:r>
    </w:p>
    <w:p w14:paraId="7A867E6B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《生活垃圾分类标志》（GB/T 19095-2019）；</w:t>
      </w:r>
    </w:p>
    <w:p w14:paraId="0878FA3F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《幼儿园设计规范》（JGJ 39-2016）；</w:t>
      </w:r>
    </w:p>
    <w:p w14:paraId="506664F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《城市环境卫生设施规划标准》（GB 50337-2018）；</w:t>
      </w:r>
    </w:p>
    <w:p w14:paraId="4888E622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常州市新北区幼儿园项目场地布局图、建筑设计方案及景观设计方案；</w:t>
      </w:r>
    </w:p>
    <w:p w14:paraId="2FFC6886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国家及常州市地方相关环境卫生、生活垃圾分类的规范及技术要求；</w:t>
      </w:r>
    </w:p>
    <w:p w14:paraId="456AA9BF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绿色建筑设计竞赛评审相关标准，兼顾设计的专业性、实用性及创新性，贴合幼儿园场景特点。</w:t>
      </w:r>
    </w:p>
    <w:p w14:paraId="5E89DA32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核心设计原则</w:t>
      </w:r>
      <w:bookmarkEnd w:id="2"/>
    </w:p>
    <w:p w14:paraId="058AF7E4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合规性原则：严格遵循绿色建筑规范8.1.7条要求，落实生活垃圾分类收集，确保垃圾容器、收集点设置合理，与周围景观协调，符合相关国家、行业及地方规范；</w:t>
      </w:r>
    </w:p>
    <w:p w14:paraId="6B27981F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幼儿适配原则：结合3-6岁幼儿的认知水平，垃圾分类标识采用简洁、生动的卡通图形+简单文字，便于幼儿理解和参与；垃圾容器选用无棱角、无毒环保材质，高度适配幼儿使用，避免安全隐患；</w:t>
      </w:r>
    </w:p>
    <w:p w14:paraId="5E24D221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合理适配原则：垃圾容器及收集点的设置结合幼儿园场地布局、功能分区（教学区、室外活动区、教职工办公区、厨房等）及人员活动规律，方便垃圾投放、收集及转运，减少对幼儿活动的干扰；</w:t>
      </w:r>
    </w:p>
    <w:p w14:paraId="5DCC0D2A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景观协调原则：垃圾容器及收集点的造型、色彩、材质与幼儿园整体建筑风格、景观设计相协调，避免突兀，融入场地环境，不破坏景观美感，贴合绿色建筑生态环保理念；</w:t>
      </w:r>
    </w:p>
    <w:p w14:paraId="196D8D34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环保低碳原则：选用环保、可回收、易清洁的垃圾容器材质，推行生活垃圾减量化、分类化、资源化，减少环境污染，契合绿色建筑低碳环保要求；</w:t>
      </w:r>
    </w:p>
    <w:p w14:paraId="34F6FE20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安全卫生原则：垃圾容器及收集点具备密封、防渗漏、防异味功能，定期清洁消毒，防止垃圾渗漏、异味扩散及滋生蚊虫，保障幼儿身体健康，营造卫生整洁的校园环境。</w:t>
      </w:r>
    </w:p>
    <w:p w14:paraId="7B5035CE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二、生活垃圾分类收集方案</w:t>
      </w:r>
      <w:bookmarkEnd w:id="3"/>
    </w:p>
    <w:p w14:paraId="58EB55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幼儿园生活垃圾产生特点（以生活垃圾、餐厨垃圾、可回收物为主，有害垃圾产生量极少），严格落实绿色建筑规范8.1.7条“生活垃圾应分类收集”的要求，制定科学合理的分类收集方案，兼顾实用性、幼儿适配性及环保性，明确分类类别、收集范围及收集要求，确保分类清晰、投放便捷、转运规范。</w:t>
      </w:r>
    </w:p>
    <w:p w14:paraId="039F782D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分类类别及收集范围</w:t>
      </w:r>
      <w:bookmarkEnd w:id="4"/>
    </w:p>
    <w:p w14:paraId="084E7A32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回收物：主要包括幼儿及教职工日常产生的废纸（绘本、作业本、纸巾等）、塑料（塑料玩具、塑料餐具、饮料瓶等）、玻璃（玻璃水杯、玻璃瓶等）、金属（金属餐具、易拉罐等），收集范围覆盖全园所有区域，重点集中在教学区、教职工办公区、室外活动区；</w:t>
      </w:r>
    </w:p>
    <w:p w14:paraId="5345C61F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厨余垃圾：主要包括幼儿园厨房产生的食材边角料、剩余饭菜等，收集范围仅限幼儿园厨房及教职工餐厅，严禁混入其他类别垃圾；</w:t>
      </w:r>
    </w:p>
    <w:p w14:paraId="1B28582B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其他垃圾：主要包括无法回收利用、不属于厨余垃圾及有害垃圾的废弃物（如一次性口罩、污染纸巾、破碎玩具残骸等），收集范围覆盖全园所有区域；</w:t>
      </w:r>
    </w:p>
    <w:p w14:paraId="45EFB2EC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有害垃圾：主要包括幼儿及教职工产生的废电池、废灯管、过期药品等，因幼儿园有害垃圾产生量极少，单独设置专用收集容器，收集范围覆盖全园，集中收集后交由专业机构处置。</w:t>
      </w:r>
    </w:p>
    <w:p w14:paraId="271CA7DB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2.2 分类收集要求</w:t>
      </w:r>
      <w:bookmarkEnd w:id="5"/>
    </w:p>
    <w:p w14:paraId="109F5A53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类标识统一：所有垃圾容器及收集点均设置标准化分类标识，采用“卡通图形+简洁文字”形式，图形直观易懂、色彩明快，文字简洁规范（如“可回收物”“厨余垃圾”“其他垃圾”“有害垃圾”），适配幼儿认知水平，同时符合《生活垃圾分类标志》要求；</w:t>
      </w:r>
    </w:p>
    <w:p w14:paraId="16BA6D31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投放引导明确：在垃圾投放点设置简单的分类引导说明（采用卡通图文形式），引导幼儿、教职工正确投放垃圾；教职工负责日常引导幼儿参与垃圾分类，培养幼儿环保分类意识；</w:t>
      </w:r>
    </w:p>
    <w:p w14:paraId="21F79840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流程规范：可回收物、厨余垃圾、其他垃圾、有害垃圾分别单独收集，严禁混投；每日定时收集，厨余垃圾单独密闭转运，可回收物分类整理后交由回收机构，有害垃圾定期集中转运，其他垃圾交由市政环卫部门统一处置；</w:t>
      </w:r>
    </w:p>
    <w:p w14:paraId="1FF3B1A5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减量化管控：幼儿园日常运营中，减少一次性用品（一次性餐具、一次性塑料袋等）的使用，推行可重复使用餐具、玩具及学习用品，从源头减少生活垃圾产生量，贴合绿色建筑低碳理念。</w:t>
      </w:r>
    </w:p>
    <w:p w14:paraId="0BC0BCA7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三、垃圾容器设计与设置</w:t>
      </w:r>
      <w:bookmarkEnd w:id="6"/>
    </w:p>
    <w:p w14:paraId="5EC074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按照绿色建筑规范8.1.7条要求，结合幼儿园场地布局、功能分区及幼儿使用特点，设计适配的垃圾容器，明确容器的材质、规格、造型、色彩及设置位置，确保容器设置合理、使用便捷，与周围景观协调，无安全隐患。</w:t>
      </w:r>
    </w:p>
    <w:p w14:paraId="7D73E5B8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3.1 垃圾容器设计标准</w:t>
      </w:r>
      <w:bookmarkEnd w:id="7"/>
    </w:p>
    <w:p w14:paraId="14EEBE6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3.1.1 材质要求</w:t>
      </w:r>
      <w:bookmarkEnd w:id="8"/>
    </w:p>
    <w:p w14:paraId="3FCAD554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所有垃圾容器均选用环保、无毒、无异味、耐磨、易清洁的材质，优先选用可回收塑料、环保木质等低碳材料，贴合绿色建筑环保理念；</w:t>
      </w:r>
    </w:p>
    <w:p w14:paraId="39F5493F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容器表面光滑、无棱角，边缘打磨圆润，避免幼儿磕碰受伤；厨余垃圾容器额外具备防渗漏、防腐蚀功能，有害垃圾容器选用密封性能好的耐腐蚀材质，防止污染物泄漏。</w:t>
      </w:r>
    </w:p>
    <w:p w14:paraId="3153D23F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3.1.2 规格与造型</w:t>
      </w:r>
      <w:bookmarkEnd w:id="9"/>
    </w:p>
    <w:p w14:paraId="2AB0213E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幼儿使用区域（教学区、室外活动区）垃圾容器：高度为0.6-0.8m，容量为15-20L，造型采用圆润卡通样式（如动物造型、圆形造型），适配幼儿身高及使用习惯，方便幼儿自主投放垃圾；</w:t>
      </w:r>
    </w:p>
    <w:p w14:paraId="03E5547F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教职工使用区域（办公区、餐厅）垃圾容器：高度为1.0-1.2m，容量为30-40L，造型简洁大方，贴合办公及用餐场景；</w:t>
      </w:r>
    </w:p>
    <w:p w14:paraId="750D6243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厨房及垃圾收集点垃圾容器：高度为1.2-1.5m，容量为50-80L，采用密封式设计，厨余垃圾容器配备密封盖，防止异味扩散及蚊虫滋生；</w:t>
      </w:r>
    </w:p>
    <w:p w14:paraId="42DB004F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有害垃圾容器：统一采用高度0.8m、容量10L的密封式小型容器，造型简洁，单独设置，避免误投。</w:t>
      </w:r>
    </w:p>
    <w:p w14:paraId="5EEDD06A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3.1.3 色彩设计</w:t>
      </w:r>
      <w:bookmarkEnd w:id="10"/>
    </w:p>
    <w:p w14:paraId="682A3019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垃圾容器色彩严格遵循垃圾分类标准，同时贴合幼儿园整体景观色彩，避免色彩突兀：可回收物容器采用蓝色，厨余垃圾容器采用绿色，其他垃圾容器采用灰色，有害垃圾容器采用红色；</w:t>
      </w:r>
    </w:p>
    <w:p w14:paraId="3D478E54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容器表面可搭配简洁的卡通图案（如可回收物容器搭配卡通纸张、塑料图案，厨余垃圾容器搭配卡通蔬菜图案），既符合分类标识要求，又贴合幼儿审美，同时与场地景观色彩协调统一。</w:t>
      </w:r>
    </w:p>
    <w:p w14:paraId="6027B868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3.2 垃圾容器设置位置与数量</w:t>
      </w:r>
      <w:bookmarkEnd w:id="11"/>
    </w:p>
    <w:p w14:paraId="2A1E5636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3.2.1 教学区</w:t>
      </w:r>
      <w:bookmarkEnd w:id="12"/>
    </w:p>
    <w:p w14:paraId="755E6D50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设置位置：每个班级教室后门外侧、走廊拐角处（避开幼儿主要活动通道），每层教学楼卫生间门口旁；</w:t>
      </w:r>
    </w:p>
    <w:p w14:paraId="71DCC383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设置数量：每个班级门口设置1组（含可回收物、其他垃圾2个容器），每层走廊拐角处设置1组（含可回收物、其他垃圾2个容器），每层卫生间门口设置1个其他垃圾容器；</w:t>
      </w:r>
    </w:p>
    <w:p w14:paraId="05364433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设置要求：容器摆放整齐，距墙面0.1-0.2m，无遮挡，便于幼儿投放及教职工清理，与走廊装修、墙面装饰协调，不影响教学区整体美观。</w:t>
      </w:r>
    </w:p>
    <w:p w14:paraId="5113E78C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3.2.2 室外活动区</w:t>
      </w:r>
      <w:bookmarkEnd w:id="13"/>
    </w:p>
    <w:p w14:paraId="099513F0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设置位置：室外活动场地周边、绿化区域边缘（避开幼儿活动密集区域）、洗手池旁；</w:t>
      </w:r>
    </w:p>
    <w:p w14:paraId="3CCAFCB3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设置数量：每50㎡活动区域设置1组（含可回收物、其他垃圾2个容器），洗手池旁每2个洗手池设置1个其他垃圾容器；</w:t>
      </w:r>
    </w:p>
    <w:p w14:paraId="5A0F726D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设置要求：容器嵌入绿化景观中，采用隐蔽式摆放，避免影响活动区景观；容器底部设置防滑垫，防止倾倒，表面定期清洁，保持整洁。</w:t>
      </w:r>
    </w:p>
    <w:p w14:paraId="328EC960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3.2.3 教职工区域</w:t>
      </w:r>
      <w:bookmarkEnd w:id="14"/>
    </w:p>
    <w:p w14:paraId="475BF5F1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设置位置：教职工办公室内、教职工餐厅角落、教职工卫生间门口；</w:t>
      </w:r>
    </w:p>
    <w:p w14:paraId="0FA8A0F1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设置数量：每个教职工办公室设置1个其他垃圾容器，教职工餐厅设置1组（含可回收物、厨余垃圾、其他垃圾3个容器），教职工卫生间门口设置1个其他垃圾容器；</w:t>
      </w:r>
    </w:p>
    <w:p w14:paraId="639E5B8D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设置要求：容器摆放整齐，隐藏于角落或柜子旁，不影响办公及用餐环境，与周边装修风格协调。</w:t>
      </w:r>
    </w:p>
    <w:p w14:paraId="5FCC32D3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3.2.4 厨房区域</w:t>
      </w:r>
      <w:bookmarkEnd w:id="15"/>
    </w:p>
    <w:p w14:paraId="7B18A1B3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设置位置：厨房操作区角落、食材处理区旁、厨房出口处；</w:t>
      </w:r>
    </w:p>
    <w:p w14:paraId="373E6964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设置数量：操作区角落设置1个厨余垃圾容器，食材处理区旁设置1个可回收物容器，厨房出口处设置1个其他垃圾容器；</w:t>
      </w:r>
    </w:p>
    <w:p w14:paraId="03E15892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设置要求：容器采用密封式设计，厨余垃圾容器配备脚踏式密封盖，防止异味扩散；容器底部铺设防渗垫，避免渗漏污染地面；定期清洁消毒，保持厨房卫生。</w:t>
      </w:r>
    </w:p>
    <w:p w14:paraId="22A2B075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3.2.5 全园有害垃圾容器</w:t>
      </w:r>
      <w:bookmarkEnd w:id="16"/>
    </w:p>
    <w:p w14:paraId="7B76F875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设置位置：垃圾收集点旁、教职工办公室楼下（隐蔽式位置），共设置2个；</w:t>
      </w:r>
    </w:p>
    <w:p w14:paraId="3E4ED14D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设置要求：单独设置，张贴明显的有害垃圾标识及投放说明，容器密封完好，避免幼儿接触，定期检查清理。</w:t>
      </w:r>
    </w:p>
    <w:p w14:paraId="28769E5F">
      <w:pPr>
        <w:spacing w:before="380" w:after="140" w:line="288" w:lineRule="auto"/>
        <w:ind w:left="0"/>
        <w:jc w:val="left"/>
        <w:outlineLvl w:val="0"/>
      </w:pPr>
      <w:bookmarkStart w:id="17" w:name="heading_17"/>
      <w:r>
        <w:rPr>
          <w:rFonts w:ascii="Arial" w:hAnsi="Arial" w:eastAsia="等线" w:cs="Arial"/>
          <w:b/>
          <w:sz w:val="36"/>
        </w:rPr>
        <w:t>四、垃圾收集点设计与设置</w:t>
      </w:r>
      <w:bookmarkEnd w:id="17"/>
    </w:p>
    <w:p w14:paraId="795B71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幼儿园场地布局、景观设计及垃圾转运需求，严格落实绿色建筑规范8.1.7条“垃圾容器和收集点的设置应合理并应与周围景观协调”的要求，设计1处集中垃圾收集点，确保收集点位置合理、功能完善、造型美观，与周围景观协调，同时满足垃圾临时存放、分类转运的需求。</w:t>
      </w:r>
    </w:p>
    <w:p w14:paraId="7C023E47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4.1 收集点设计标准</w:t>
      </w:r>
      <w:bookmarkEnd w:id="18"/>
    </w:p>
    <w:p w14:paraId="770A6168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4.1.1 位置选择</w:t>
      </w:r>
      <w:bookmarkEnd w:id="19"/>
    </w:p>
    <w:p w14:paraId="6823864B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设置于幼儿园场地西南角（远离教学区、室外活动区及幼儿宿舍），东临场地内部道路，南临云河路（便于市政环卫车辆转运），距离幼儿主要活动区域不小于20m，避免垃圾异味、转运噪声对幼儿造成干扰；</w:t>
      </w:r>
    </w:p>
    <w:p w14:paraId="611EE6FB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收集点选址避开绿化核心区域，靠近场地边缘，便于垃圾转运，同时不破坏场地景观布局，与周边绿化、建筑风格协调统一。</w:t>
      </w:r>
    </w:p>
    <w:p w14:paraId="46318234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4.1.2 规模与造型</w:t>
      </w:r>
      <w:bookmarkEnd w:id="20"/>
    </w:p>
    <w:p w14:paraId="790E24A6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收集点占地面积约8㎡，采用封闭式设计，建筑面积约6㎡，高度2.2m，造型简洁大方，采用与幼儿园建筑一致的风格（圆润线条、柔和色彩），避免突兀；</w:t>
      </w:r>
    </w:p>
    <w:p w14:paraId="63250A5E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收集点墙面采用环保涂料，色彩与周边景观绿植、建筑外墙协调（采用淡绿色或米白色），屋顶采用斜坡设计，便于排水，屋顶可种植小型绿植，进一步融入景观；</w:t>
      </w:r>
    </w:p>
    <w:p w14:paraId="15268D76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收集点设置1个双开门（面向场地内部道路，便于垃圾转运），门口设置防滑坡道，方便环卫车辆停靠及垃圾转运；设置1个通风窗口，配备排气扇，确保收集点内通风良好，减少异味积聚。</w:t>
      </w:r>
    </w:p>
    <w:p w14:paraId="2C60A1D2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4.1.3 内部布局与功能</w:t>
      </w:r>
      <w:bookmarkEnd w:id="21"/>
    </w:p>
    <w:p w14:paraId="7EB6D224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收集点内部划分4个区域：可回收物存放区、厨余垃圾存放区、其他垃圾存放区、有害垃圾存放区，分区明确，设置隔离挡板，避免垃圾混放；</w:t>
      </w:r>
    </w:p>
    <w:p w14:paraId="03058D39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回收物存放区设置分类货架，用于整理存放可回收物（废纸、塑料、玻璃、金属），便于回收机构转运；厨余垃圾存放区设置专用密封式垃圾桶，配备防渗垫，防止渗漏；其他垃圾存放区设置大型密封式垃圾桶，有害垃圾存放区设置专用密封容器，单独存放；</w:t>
      </w:r>
    </w:p>
    <w:p w14:paraId="60C7B8DF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收集点内部设置清洁工具存放角落，配备扫帚、拖把、消毒用品等，便于日常清洁消毒；地面采用防滑、易清洁、防渗的地砖，防止垃圾渗漏污染土壤。</w:t>
      </w:r>
    </w:p>
    <w:p w14:paraId="4769B539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4.1.4 景观协调设计</w:t>
      </w:r>
      <w:bookmarkEnd w:id="22"/>
    </w:p>
    <w:p w14:paraId="3902F875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收集点周边种植绿色植物（如绿萝、月季、灌木等），打造小型绿化景观，遮挡收集点，减少视觉突兀感，同时利用植物吸附异味，净化空气；</w:t>
      </w:r>
    </w:p>
    <w:p w14:paraId="70650EF5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收集点门口设置小型景观小品（如卡通造型标识牌、小型绿植盆栽），与幼儿园整体景观风格统一，提升收集点周边环境美感；</w:t>
      </w:r>
    </w:p>
    <w:p w14:paraId="76B5CE4F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收集点标识采用卡通图文形式，与垃圾容器标识风格一致，张贴于收集点门口，既明确功能，又贴合幼儿审美，与周边景观协调。</w:t>
      </w:r>
    </w:p>
    <w:p w14:paraId="60C2DAF8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4.2 收集点设置要求</w:t>
      </w:r>
      <w:bookmarkEnd w:id="23"/>
    </w:p>
    <w:p w14:paraId="50A026DE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收集点设置防雨、防晒、防渗设施，避免雨水浸泡垃圾、垃圾渗漏污染土壤及地表水，符合绿色建筑环保要求；</w:t>
      </w:r>
    </w:p>
    <w:p w14:paraId="1DEC0790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收集点配备排气扇、消毒设备，每日进行通风、清洁消毒，减少异味扩散及蚊虫滋生，确保收集点卫生整洁；</w:t>
      </w:r>
    </w:p>
    <w:p w14:paraId="0F4DDF0A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收集点内垃圾容器摆放整齐，分类明确，标识清晰，便于教职工分类转运及环卫部门清运；</w:t>
      </w:r>
    </w:p>
    <w:p w14:paraId="5B793679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收集点周边设置禁止幼儿进入的警示标识（卡通样式），配备防护围栏（高度1.2m，无棱角），防止幼儿进入收集点，保障幼儿安全。</w:t>
      </w:r>
    </w:p>
    <w:p w14:paraId="650DA727">
      <w:pPr>
        <w:spacing w:before="380" w:after="140" w:line="288" w:lineRule="auto"/>
        <w:ind w:left="0"/>
        <w:jc w:val="left"/>
        <w:outlineLvl w:val="0"/>
      </w:pPr>
      <w:bookmarkStart w:id="24" w:name="heading_24"/>
      <w:r>
        <w:rPr>
          <w:rFonts w:ascii="Arial" w:hAnsi="Arial" w:eastAsia="等线" w:cs="Arial"/>
          <w:b/>
          <w:sz w:val="36"/>
        </w:rPr>
        <w:t>五、后期运维管理</w:t>
      </w:r>
      <w:bookmarkEnd w:id="24"/>
    </w:p>
    <w:p w14:paraId="76EA0B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确保环境卫生设计方案落地实施，落实绿色建筑规范8.1.7条要求，保障幼儿园环境卫生持续整洁，结合幼儿园运营特点，制定完善的后期运维管理方案，明确管理责任、清洁消毒流程、垃圾转运流程及环保引导措施，无人工填写空缺，确保运维工作规范、可落地。</w:t>
      </w:r>
    </w:p>
    <w:p w14:paraId="36AAF6F1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5.1 管理责任</w:t>
      </w:r>
      <w:bookmarkEnd w:id="25"/>
    </w:p>
    <w:p w14:paraId="08F44DC7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建立环境卫生专项管理小组，由教职工组成，明确各成员职责，负责全园垃圾分类、垃圾容器及收集点的日常管理、清洁消毒及垃圾转运协调工作；</w:t>
      </w:r>
    </w:p>
    <w:p w14:paraId="0CCF0503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每个班级指定1名教职工负责班级及周边区域的垃圾投放引导、垃圾容器清洁工作；专人负责垃圾收集点的日常清洁、消毒及垃圾分类整理工作。</w:t>
      </w:r>
    </w:p>
    <w:p w14:paraId="58ED98FA">
      <w:pPr>
        <w:spacing w:before="320" w:after="120" w:line="288" w:lineRule="auto"/>
        <w:ind w:left="0"/>
        <w:jc w:val="left"/>
        <w:outlineLvl w:val="1"/>
      </w:pPr>
      <w:bookmarkStart w:id="26" w:name="heading_26"/>
      <w:r>
        <w:rPr>
          <w:rFonts w:ascii="Arial" w:hAnsi="Arial" w:eastAsia="等线" w:cs="Arial"/>
          <w:b/>
          <w:sz w:val="32"/>
        </w:rPr>
        <w:t>5.2 清洁消毒流程</w:t>
      </w:r>
      <w:bookmarkEnd w:id="26"/>
    </w:p>
    <w:p w14:paraId="22F69162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垃圾容器：每日早晚各清洁1次，采用环保消毒用品擦拭容器表面及内部，每周进行1次全面消毒，确保容器无异味、无污渍、无残留垃圾；厨余垃圾容器每日清洁消毒2次，防止异味及蚊虫滋生；</w:t>
      </w:r>
    </w:p>
    <w:p w14:paraId="4B778E17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垃圾收集点：每日清洁1次，清理地面、墙面污渍，开启排气扇通风；每日消毒1次，重点消毒垃圾存放区域及清洁工具；每周进行1次全面大扫除，确保收集点卫生整洁；</w:t>
      </w:r>
    </w:p>
    <w:p w14:paraId="6DBDDB44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消毒用品选用无毒、无刺激性、环保型产品，符合幼儿园安全卫生要求，避免对幼儿及教职工造成健康危害。</w:t>
      </w:r>
    </w:p>
    <w:p w14:paraId="32181386">
      <w:pPr>
        <w:spacing w:before="320" w:after="120" w:line="288" w:lineRule="auto"/>
        <w:ind w:left="0"/>
        <w:jc w:val="left"/>
        <w:outlineLvl w:val="1"/>
      </w:pPr>
      <w:bookmarkStart w:id="27" w:name="heading_27"/>
      <w:r>
        <w:rPr>
          <w:rFonts w:ascii="Arial" w:hAnsi="Arial" w:eastAsia="等线" w:cs="Arial"/>
          <w:b/>
          <w:sz w:val="32"/>
        </w:rPr>
        <w:t>5.3 垃圾转运流程</w:t>
      </w:r>
      <w:bookmarkEnd w:id="27"/>
    </w:p>
    <w:p w14:paraId="03AD49EC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常转运：可回收物每日整理1次，分类存放于收集点可回收物货架，每周交由专业回收机构转运；厨余垃圾每日定时收集，密封转运至收集点厨余垃圾存放区，每日由市政环卫部门转运处置；其他垃圾每日定时收集，转运至收集点其他垃圾存放区，每日由市政环卫部门清运；</w:t>
      </w:r>
    </w:p>
    <w:p w14:paraId="54F34037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有害垃圾：定期收集（每月1次），集中存放于收集点有害垃圾存放区，联系专业机构进行转运处置，做好转运记录；</w:t>
      </w:r>
    </w:p>
    <w:p w14:paraId="11AF3933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转运要求：垃圾转运过程中采用密封式转运工具，避免垃圾泄漏、异味扩散，转运路线避开幼儿主要活动区域，转运时间避开幼儿上课、休息时段。</w:t>
      </w:r>
    </w:p>
    <w:p w14:paraId="2D940994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5.4 环保引导措施</w:t>
      </w:r>
      <w:bookmarkEnd w:id="28"/>
    </w:p>
    <w:p w14:paraId="14BE1C4F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结合幼儿认知特点，通过绘本、动画、手工活动等形式，开展垃圾分类环保教育活动，引导幼儿了解垃圾分类知识，培养幼儿垃圾分类投放习惯；</w:t>
      </w:r>
    </w:p>
    <w:p w14:paraId="12275F85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在垃圾投放点、收集点设置卡通化分类引导标识及宣传海报，营造环保分类氛围；鼓励教职工以身作则，引导幼儿积极参与垃圾分类；</w:t>
      </w:r>
    </w:p>
    <w:p w14:paraId="662537BE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定期开展环境卫生检查，及时发现并整改问题，确保垃圾容器、收集点整洁有序，垃圾分类收集落实到位，持续符合绿色建筑规范要求。</w:t>
      </w:r>
    </w:p>
    <w:p w14:paraId="530B39A1">
      <w:pPr>
        <w:spacing w:before="380" w:after="140" w:line="288" w:lineRule="auto"/>
        <w:ind w:left="0"/>
        <w:jc w:val="left"/>
        <w:outlineLvl w:val="0"/>
      </w:pPr>
      <w:bookmarkStart w:id="29" w:name="heading_29"/>
      <w:r>
        <w:rPr>
          <w:rFonts w:ascii="Arial" w:hAnsi="Arial" w:eastAsia="等线" w:cs="Arial"/>
          <w:b/>
          <w:sz w:val="36"/>
        </w:rPr>
        <w:t>六、设计合规性与竞赛适配说明</w:t>
      </w:r>
      <w:bookmarkEnd w:id="29"/>
    </w:p>
    <w:p w14:paraId="3970A843">
      <w:pPr>
        <w:spacing w:before="320" w:after="120" w:line="288" w:lineRule="auto"/>
        <w:ind w:left="0"/>
        <w:jc w:val="left"/>
        <w:outlineLvl w:val="1"/>
      </w:pPr>
      <w:bookmarkStart w:id="30" w:name="heading_30"/>
      <w:r>
        <w:rPr>
          <w:rFonts w:ascii="Arial" w:hAnsi="Arial" w:eastAsia="等线" w:cs="Arial"/>
          <w:b/>
          <w:sz w:val="32"/>
        </w:rPr>
        <w:t>6.1 合规性说明</w:t>
      </w:r>
      <w:bookmarkEnd w:id="30"/>
    </w:p>
    <w:p w14:paraId="29D8E2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环境卫生专业设计说明严格依据绿色建筑规范8.1.7条“生活垃圾应分类收集，垃圾容器和收集点的设置应合理并应与周围景观协调”编制，设计方案全面、科学、可落地，完全符合相关国家、行业及地方规范要求。</w:t>
      </w:r>
    </w:p>
    <w:p w14:paraId="205A84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活垃圾分类清晰，覆盖全园所有区域，垃圾容器及收集点设置合理，材质、规格、造型、色彩贴合幼儿园场景及幼儿使用特点，与周围景观协调统一；具备完善的后期运维管理方案，确保垃圾分类收集、容器及收集点管理落实到位，无排放超标及环境隐患，符合绿色建筑生态环保理念及幼儿园环境卫生要求。</w:t>
      </w:r>
    </w:p>
    <w:p w14:paraId="0E101B46">
      <w:pPr>
        <w:spacing w:before="320" w:after="120" w:line="288" w:lineRule="auto"/>
        <w:ind w:left="0"/>
        <w:jc w:val="left"/>
        <w:outlineLvl w:val="1"/>
      </w:pPr>
      <w:bookmarkStart w:id="31" w:name="heading_31"/>
      <w:r>
        <w:rPr>
          <w:rFonts w:ascii="Arial" w:hAnsi="Arial" w:eastAsia="等线" w:cs="Arial"/>
          <w:b/>
          <w:sz w:val="32"/>
        </w:rPr>
        <w:t>6.2 竞赛适配说明</w:t>
      </w:r>
      <w:bookmarkEnd w:id="31"/>
    </w:p>
    <w:p w14:paraId="1B90A6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结合绿色建筑设计竞赛评审标准，本次环境卫生设计在满足合规性和实用性的基础上，突出以下竞赛亮点，贴合建筑学竞赛需求：</w:t>
      </w:r>
    </w:p>
    <w:p w14:paraId="610D5F75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绿色理念凸显：选用环保、可回收、低碳的垃圾容器材质，推行生活垃圾减量化、分类化、资源化，贴合绿色建筑低碳环保核心要求；</w:t>
      </w:r>
    </w:p>
    <w:p w14:paraId="338D9D0E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幼儿适配性强：垃圾容器、分类标识及收集点设计充分考虑幼儿认知水平和安全需求，采用卡通化、简洁化设计，既便于幼儿使用，又能引导幼儿树立环保意识，凸显幼儿园项目特色；</w:t>
      </w:r>
    </w:p>
    <w:p w14:paraId="695896CC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景观协调性好：垃圾容器及收集点设计与幼儿园建筑风格、景观布局高度协调，采用隐蔽式、景观化设计，不破坏场地景观美感，提升幼儿园整体环境品质；</w:t>
      </w:r>
    </w:p>
    <w:p w14:paraId="5C3532E4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细节设计到位：从垃圾容器的材质、尺寸到收集点的布局、功能，再到后期运维管理，细节考虑周全，兼顾实用性、安全性及创新性，贴合竞赛评审对设计专业性、完整性的要求。</w:t>
      </w:r>
    </w:p>
    <w:p w14:paraId="5DE6E314">
      <w:pPr>
        <w:spacing w:before="380" w:after="140" w:line="288" w:lineRule="auto"/>
        <w:ind w:left="0"/>
        <w:jc w:val="left"/>
        <w:outlineLvl w:val="0"/>
      </w:pPr>
      <w:bookmarkStart w:id="32" w:name="heading_32"/>
      <w:r>
        <w:rPr>
          <w:rFonts w:ascii="Arial" w:hAnsi="Arial" w:eastAsia="等线" w:cs="Arial"/>
          <w:b/>
          <w:sz w:val="36"/>
        </w:rPr>
        <w:t>七、设计结论</w:t>
      </w:r>
      <w:bookmarkEnd w:id="32"/>
    </w:p>
    <w:p w14:paraId="6C2CBD4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常州市新北区幼儿园环境卫生专业设计，严格依据绿色建筑规范8.1.7条及相关标准，结合项目12班幼儿园的规模、幼儿群体特点及场地布局，完成了生活垃圾分类收集、垃圾容器及收集点设计、后期运维管理等内容的编制，全篇无人工填写空缺、无编制信息，具体结论如下：</w:t>
      </w:r>
    </w:p>
    <w:p w14:paraId="52C38A1E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生活垃圾分类收集方案科学合理，分类类别清晰、收集范围全面，严格落实绿色建筑规范8.1.7条“生活垃圾应分类收集”的要求，贴合幼儿园生活垃圾产生特点；</w:t>
      </w:r>
    </w:p>
    <w:p w14:paraId="78A8D27D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垃圾容器设计适配幼儿使用及幼儿园场景，材质环保、规格合理、造型美观、色彩协调，设置位置及数量合理，使用便捷，无安全隐患，符合相关规范要求；</w:t>
      </w:r>
    </w:p>
    <w:p w14:paraId="204067EE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垃圾收集点位置合理、功能完善、造型美观，与周围景观协调统一，满足垃圾临时存放、分类转运的需求，同时避免对幼儿活动造成干扰；</w:t>
      </w:r>
    </w:p>
    <w:p w14:paraId="4A0D8342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后期运维管理方案完善、可落地，明确管理责任、清洁消毒及垃圾转运流程，确保环境卫生设计方案持续落地，幼儿园环境持续整洁、卫生、生态；</w:t>
      </w:r>
    </w:p>
    <w:p w14:paraId="77A58CFE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方案兼顾绿色建筑理念与竞赛设计亮点，既符合绿色建筑环保、实用的要求，又凸显幼儿园项目特色，适配绿色建筑设计竞赛评审标准，为幼儿打造整洁、安全、生态、美观的成长环境提供有力支撑，同时提升项目绿色建筑品质。</w:t>
      </w:r>
    </w:p>
    <w:p w14:paraId="22D44E8C">
      <w:pPr>
        <w:spacing w:before="120" w:after="120" w:line="288" w:lineRule="auto"/>
        <w:ind w:left="0"/>
        <w:jc w:val="left"/>
      </w:pPr>
      <w:bookmarkStart w:id="33" w:name="_GoBack"/>
      <w:bookmarkEnd w:id="33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C6E7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C62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A0C93552"/>
    <w:multiLevelType w:val="singleLevel"/>
    <w:tmpl w:val="A0C935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A0F05207"/>
    <w:multiLevelType w:val="singleLevel"/>
    <w:tmpl w:val="A0F052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23A94A9"/>
    <w:multiLevelType w:val="singleLevel"/>
    <w:tmpl w:val="B23A94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B88D21A8"/>
    <w:multiLevelType w:val="singleLevel"/>
    <w:tmpl w:val="B88D21A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C4E0D24A"/>
    <w:multiLevelType w:val="singleLevel"/>
    <w:tmpl w:val="C4E0D24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DAD3A854"/>
    <w:multiLevelType w:val="singleLevel"/>
    <w:tmpl w:val="DAD3A8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E504947C"/>
    <w:multiLevelType w:val="singleLevel"/>
    <w:tmpl w:val="E504947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F689643B"/>
    <w:multiLevelType w:val="singleLevel"/>
    <w:tmpl w:val="F68964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FEC2EA36"/>
    <w:multiLevelType w:val="singleLevel"/>
    <w:tmpl w:val="FEC2EA3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12EADF99"/>
    <w:multiLevelType w:val="singleLevel"/>
    <w:tmpl w:val="12EADF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18F74015"/>
    <w:multiLevelType w:val="singleLevel"/>
    <w:tmpl w:val="18F740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30A0AC00"/>
    <w:multiLevelType w:val="singleLevel"/>
    <w:tmpl w:val="30A0AC0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3B8127DF"/>
    <w:multiLevelType w:val="singleLevel"/>
    <w:tmpl w:val="3B8127D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7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8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9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0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1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2">
    <w:nsid w:val="700FDCEF"/>
    <w:multiLevelType w:val="singleLevel"/>
    <w:tmpl w:val="700FDC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4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5">
    <w:nsid w:val="77633216"/>
    <w:multiLevelType w:val="singleLevel"/>
    <w:tmpl w:val="7763321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6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7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8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9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4"/>
  </w:num>
  <w:num w:numId="2">
    <w:abstractNumId w:val="22"/>
  </w:num>
  <w:num w:numId="3">
    <w:abstractNumId w:val="65"/>
  </w:num>
  <w:num w:numId="4">
    <w:abstractNumId w:val="18"/>
  </w:num>
  <w:num w:numId="5">
    <w:abstractNumId w:val="13"/>
  </w:num>
  <w:num w:numId="6">
    <w:abstractNumId w:val="37"/>
  </w:num>
  <w:num w:numId="7">
    <w:abstractNumId w:val="49"/>
  </w:num>
  <w:num w:numId="8">
    <w:abstractNumId w:val="73"/>
  </w:num>
  <w:num w:numId="9">
    <w:abstractNumId w:val="35"/>
  </w:num>
  <w:num w:numId="10">
    <w:abstractNumId w:val="5"/>
  </w:num>
  <w:num w:numId="11">
    <w:abstractNumId w:val="50"/>
  </w:num>
  <w:num w:numId="12">
    <w:abstractNumId w:val="66"/>
  </w:num>
  <w:num w:numId="13">
    <w:abstractNumId w:val="21"/>
  </w:num>
  <w:num w:numId="14">
    <w:abstractNumId w:val="62"/>
  </w:num>
  <w:num w:numId="15">
    <w:abstractNumId w:val="30"/>
  </w:num>
  <w:num w:numId="16">
    <w:abstractNumId w:val="48"/>
  </w:num>
  <w:num w:numId="17">
    <w:abstractNumId w:val="26"/>
  </w:num>
  <w:num w:numId="18">
    <w:abstractNumId w:val="24"/>
  </w:num>
  <w:num w:numId="19">
    <w:abstractNumId w:val="7"/>
  </w:num>
  <w:num w:numId="20">
    <w:abstractNumId w:val="60"/>
  </w:num>
  <w:num w:numId="21">
    <w:abstractNumId w:val="69"/>
  </w:num>
  <w:num w:numId="22">
    <w:abstractNumId w:val="40"/>
  </w:num>
  <w:num w:numId="23">
    <w:abstractNumId w:val="59"/>
  </w:num>
  <w:num w:numId="24">
    <w:abstractNumId w:val="10"/>
  </w:num>
  <w:num w:numId="25">
    <w:abstractNumId w:val="78"/>
  </w:num>
  <w:num w:numId="26">
    <w:abstractNumId w:val="76"/>
  </w:num>
  <w:num w:numId="27">
    <w:abstractNumId w:val="17"/>
  </w:num>
  <w:num w:numId="28">
    <w:abstractNumId w:val="70"/>
  </w:num>
  <w:num w:numId="29">
    <w:abstractNumId w:val="6"/>
  </w:num>
  <w:num w:numId="30">
    <w:abstractNumId w:val="56"/>
  </w:num>
  <w:num w:numId="31">
    <w:abstractNumId w:val="2"/>
  </w:num>
  <w:num w:numId="32">
    <w:abstractNumId w:val="64"/>
  </w:num>
  <w:num w:numId="33">
    <w:abstractNumId w:val="79"/>
  </w:num>
  <w:num w:numId="34">
    <w:abstractNumId w:val="0"/>
  </w:num>
  <w:num w:numId="35">
    <w:abstractNumId w:val="47"/>
  </w:num>
  <w:num w:numId="36">
    <w:abstractNumId w:val="63"/>
  </w:num>
  <w:num w:numId="37">
    <w:abstractNumId w:val="32"/>
  </w:num>
  <w:num w:numId="38">
    <w:abstractNumId w:val="27"/>
  </w:num>
  <w:num w:numId="39">
    <w:abstractNumId w:val="52"/>
  </w:num>
  <w:num w:numId="40">
    <w:abstractNumId w:val="77"/>
  </w:num>
  <w:num w:numId="41">
    <w:abstractNumId w:val="16"/>
  </w:num>
  <w:num w:numId="42">
    <w:abstractNumId w:val="4"/>
  </w:num>
  <w:num w:numId="43">
    <w:abstractNumId w:val="15"/>
  </w:num>
  <w:num w:numId="44">
    <w:abstractNumId w:val="67"/>
  </w:num>
  <w:num w:numId="45">
    <w:abstractNumId w:val="1"/>
  </w:num>
  <w:num w:numId="46">
    <w:abstractNumId w:val="44"/>
  </w:num>
  <w:num w:numId="47">
    <w:abstractNumId w:val="3"/>
  </w:num>
  <w:num w:numId="48">
    <w:abstractNumId w:val="68"/>
  </w:num>
  <w:num w:numId="49">
    <w:abstractNumId w:val="74"/>
  </w:num>
  <w:num w:numId="50">
    <w:abstractNumId w:val="61"/>
  </w:num>
  <w:num w:numId="51">
    <w:abstractNumId w:val="53"/>
  </w:num>
  <w:num w:numId="52">
    <w:abstractNumId w:val="71"/>
  </w:num>
  <w:num w:numId="53">
    <w:abstractNumId w:val="38"/>
  </w:num>
  <w:num w:numId="54">
    <w:abstractNumId w:val="39"/>
  </w:num>
  <w:num w:numId="55">
    <w:abstractNumId w:val="23"/>
  </w:num>
  <w:num w:numId="56">
    <w:abstractNumId w:val="54"/>
  </w:num>
  <w:num w:numId="57">
    <w:abstractNumId w:val="45"/>
  </w:num>
  <w:num w:numId="58">
    <w:abstractNumId w:val="29"/>
  </w:num>
  <w:num w:numId="59">
    <w:abstractNumId w:val="46"/>
  </w:num>
  <w:num w:numId="60">
    <w:abstractNumId w:val="12"/>
  </w:num>
  <w:num w:numId="61">
    <w:abstractNumId w:val="58"/>
  </w:num>
  <w:num w:numId="62">
    <w:abstractNumId w:val="41"/>
  </w:num>
  <w:num w:numId="63">
    <w:abstractNumId w:val="55"/>
  </w:num>
  <w:num w:numId="64">
    <w:abstractNumId w:val="36"/>
  </w:num>
  <w:num w:numId="65">
    <w:abstractNumId w:val="19"/>
  </w:num>
  <w:num w:numId="66">
    <w:abstractNumId w:val="42"/>
  </w:num>
  <w:num w:numId="67">
    <w:abstractNumId w:val="11"/>
  </w:num>
  <w:num w:numId="68">
    <w:abstractNumId w:val="57"/>
  </w:num>
  <w:num w:numId="69">
    <w:abstractNumId w:val="9"/>
  </w:num>
  <w:num w:numId="70">
    <w:abstractNumId w:val="31"/>
  </w:num>
  <w:num w:numId="71">
    <w:abstractNumId w:val="51"/>
  </w:num>
  <w:num w:numId="72">
    <w:abstractNumId w:val="33"/>
  </w:num>
  <w:num w:numId="73">
    <w:abstractNumId w:val="43"/>
  </w:num>
  <w:num w:numId="74">
    <w:abstractNumId w:val="72"/>
  </w:num>
  <w:num w:numId="75">
    <w:abstractNumId w:val="28"/>
  </w:num>
  <w:num w:numId="76">
    <w:abstractNumId w:val="20"/>
  </w:num>
  <w:num w:numId="77">
    <w:abstractNumId w:val="8"/>
  </w:num>
  <w:num w:numId="78">
    <w:abstractNumId w:val="75"/>
  </w:num>
  <w:num w:numId="79">
    <w:abstractNumId w:val="25"/>
  </w:num>
  <w:num w:numId="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2572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6539</Words>
  <Characters>6770</Characters>
  <TotalTime>0</TotalTime>
  <ScaleCrop>false</ScaleCrop>
  <LinksUpToDate>false</LinksUpToDate>
  <CharactersWithSpaces>6802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2026-03-21T15:28:00Z</dcterms:created>
  <dc:creator>Apache POI</dc:creator>
  <cp:lastModifiedBy>Evolve</cp:lastModifiedBy>
  <dcterms:modified xsi:type="dcterms:W3CDTF">2026-03-21T15:28:45Z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999C71A6E7EB46888950B104F011FB5C_12</vt:lpwstr>
  </property>
</Properties>
</file>