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EB2A7" w14:textId="77777777" w:rsidR="007D6D35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常州市新北区幼儿园集中供暖系统热水循环泵耗电输热比计算书</w:t>
      </w:r>
    </w:p>
    <w:p w14:paraId="53A8A0AF" w14:textId="77777777" w:rsidR="007D6D35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一、项目概况</w:t>
      </w:r>
      <w:bookmarkEnd w:id="0"/>
    </w:p>
    <w:p w14:paraId="0729489F" w14:textId="77777777" w:rsidR="007D6D3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55D3B694" w14:textId="77777777" w:rsidR="007D6D3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建设地点：常州市新北区新景花园四期东南角，东临龙六路，南临云河路</w:t>
      </w:r>
    </w:p>
    <w:p w14:paraId="36103C29" w14:textId="77777777" w:rsidR="007D6D3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人，属公共建筑中的教育类建筑。集中供暖系统配置贴合幼儿活动场景，兼顾室内供暖舒适性与系统节能性，符合绿色建筑设计竞赛及相关规范要求。</w:t>
      </w:r>
    </w:p>
    <w:p w14:paraId="27E0B60E" w14:textId="77777777" w:rsidR="007D6D35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二、计算依据</w:t>
      </w:r>
      <w:bookmarkEnd w:id="1"/>
    </w:p>
    <w:p w14:paraId="72B503A9" w14:textId="77777777" w:rsidR="007D6D3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7.2.6 </w:t>
      </w:r>
      <w:r>
        <w:rPr>
          <w:rFonts w:ascii="Arial" w:eastAsia="等线" w:hAnsi="Arial" w:cs="Arial"/>
        </w:rPr>
        <w:t>降低供暖空调系统末端及输配系统能耗）；</w:t>
      </w:r>
    </w:p>
    <w:p w14:paraId="255A5CAA" w14:textId="77777777" w:rsidR="007D6D3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《民用建筑供暖通风与空气调节设计规范》</w:t>
      </w:r>
      <w:r>
        <w:rPr>
          <w:rFonts w:ascii="Arial" w:eastAsia="等线" w:hAnsi="Arial" w:cs="Arial"/>
        </w:rPr>
        <w:t>GB 50736-2012</w:t>
      </w:r>
      <w:r>
        <w:rPr>
          <w:rFonts w:ascii="Arial" w:eastAsia="等线" w:hAnsi="Arial" w:cs="Arial"/>
        </w:rPr>
        <w:t>（现行国家标准）；</w:t>
      </w:r>
    </w:p>
    <w:p w14:paraId="16A19963" w14:textId="77777777" w:rsidR="007D6D3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《公共建筑节能设计标准》</w:t>
      </w:r>
      <w:r>
        <w:rPr>
          <w:rFonts w:ascii="Arial" w:eastAsia="等线" w:hAnsi="Arial" w:cs="Arial"/>
        </w:rPr>
        <w:t>GB 50189-2015</w:t>
      </w:r>
      <w:r>
        <w:rPr>
          <w:rFonts w:ascii="Arial" w:eastAsia="等线" w:hAnsi="Arial" w:cs="Arial"/>
        </w:rPr>
        <w:t>（现行国家标准）；</w:t>
      </w:r>
    </w:p>
    <w:p w14:paraId="50862436" w14:textId="77777777" w:rsidR="007D6D3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项目集中供暖系统设计方案、热水循环泵选型参数及相关设计图纸；</w:t>
      </w:r>
    </w:p>
    <w:p w14:paraId="4527FCC4" w14:textId="77777777" w:rsidR="007D6D3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常州市新北区建筑气候区划要求（属</w:t>
      </w:r>
      <w:r>
        <w:rPr>
          <w:rFonts w:ascii="Arial" w:eastAsia="等线" w:hAnsi="Arial" w:cs="Arial"/>
        </w:rPr>
        <w:t>Ⅲ</w:t>
      </w:r>
      <w:r>
        <w:rPr>
          <w:rFonts w:ascii="Arial" w:eastAsia="等线" w:hAnsi="Arial" w:cs="Arial"/>
        </w:rPr>
        <w:t>区）及幼儿园集中供暖系统设计专项要求。</w:t>
      </w:r>
    </w:p>
    <w:p w14:paraId="2A18BA2E" w14:textId="77777777" w:rsidR="007D6D35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三、核心指标计算（集中供暖系统热水循环泵耗电输热比）</w:t>
      </w:r>
      <w:bookmarkEnd w:id="2"/>
    </w:p>
    <w:p w14:paraId="11AB3B6C" w14:textId="77777777" w:rsidR="007D6D35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（一）计算定义</w:t>
      </w:r>
      <w:bookmarkEnd w:id="3"/>
    </w:p>
    <w:p w14:paraId="7113675D" w14:textId="77777777" w:rsidR="007D6D3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集中供暖系统热水循环泵耗电输热比（</w:t>
      </w:r>
      <w:r>
        <w:rPr>
          <w:rFonts w:ascii="Arial" w:eastAsia="等线" w:hAnsi="Arial" w:cs="Arial"/>
        </w:rPr>
        <w:t>EHR</w:t>
      </w:r>
      <w:r>
        <w:rPr>
          <w:rFonts w:ascii="Arial" w:eastAsia="等线" w:hAnsi="Arial" w:cs="Arial"/>
        </w:rPr>
        <w:t>），指设计工况下，集中供暖系统热水循环泵的总耗电功率（</w:t>
      </w:r>
      <w:r>
        <w:rPr>
          <w:rFonts w:ascii="Arial" w:eastAsia="等线" w:hAnsi="Arial" w:cs="Arial"/>
        </w:rPr>
        <w:t>kW</w:t>
      </w:r>
      <w:r>
        <w:rPr>
          <w:rFonts w:ascii="Arial" w:eastAsia="等线" w:hAnsi="Arial" w:cs="Arial"/>
        </w:rPr>
        <w:t>）与系统实际输热量（</w:t>
      </w:r>
      <w:r>
        <w:rPr>
          <w:rFonts w:ascii="Arial" w:eastAsia="等线" w:hAnsi="Arial" w:cs="Arial"/>
        </w:rPr>
        <w:t>kW</w:t>
      </w:r>
      <w:r>
        <w:rPr>
          <w:rFonts w:ascii="Arial" w:eastAsia="等线" w:hAnsi="Arial" w:cs="Arial"/>
        </w:rPr>
        <w:t>）的比值，是衡量供暖输配系统能耗的核心指标，直接关系绿色建筑</w:t>
      </w:r>
      <w:r>
        <w:rPr>
          <w:rFonts w:ascii="Arial" w:eastAsia="等线" w:hAnsi="Arial" w:cs="Arial"/>
        </w:rPr>
        <w:t>7.2.6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款评分，本次计算采用冬季设计工况，贴合</w:t>
      </w:r>
      <w:r>
        <w:rPr>
          <w:rFonts w:ascii="Arial" w:eastAsia="等线" w:hAnsi="Arial" w:cs="Arial"/>
        </w:rPr>
        <w:t>Ⅲ</w:t>
      </w:r>
      <w:r>
        <w:rPr>
          <w:rFonts w:ascii="Arial" w:eastAsia="等线" w:hAnsi="Arial" w:cs="Arial"/>
        </w:rPr>
        <w:t>区供暖需求。</w:t>
      </w:r>
    </w:p>
    <w:p w14:paraId="10713F6B" w14:textId="77777777" w:rsidR="007D6D35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（二）关键参数确定</w:t>
      </w:r>
      <w:bookmarkEnd w:id="4"/>
    </w:p>
    <w:p w14:paraId="639A9D3F" w14:textId="77777777" w:rsidR="007D6D3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班幼儿园冬季供暖负荷需求，参考同类幼儿园集中供暖系统配置及循环泵选型参数，确定本项目关键参数如下：</w:t>
      </w:r>
    </w:p>
    <w:p w14:paraId="3D8F6EA0" w14:textId="77777777" w:rsidR="007D6D3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系统配置：集中供暖热水循环泵设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台（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用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备），均选用高效节能型离心泵，适</w:t>
      </w:r>
      <w:r>
        <w:rPr>
          <w:rFonts w:ascii="Arial" w:eastAsia="等线" w:hAnsi="Arial" w:cs="Arial"/>
        </w:rPr>
        <w:lastRenderedPageBreak/>
        <w:t>配幼儿园供暖负荷波动特点，保障供暖稳定性；</w:t>
      </w:r>
    </w:p>
    <w:p w14:paraId="4293C9D0" w14:textId="77777777" w:rsidR="007D6D3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单台水泵参数：额定功率</w:t>
      </w:r>
      <w:r>
        <w:rPr>
          <w:rFonts w:ascii="Arial" w:eastAsia="等线" w:hAnsi="Arial" w:cs="Arial"/>
        </w:rPr>
        <w:t>9.5kW</w:t>
      </w:r>
      <w:r>
        <w:rPr>
          <w:rFonts w:ascii="Arial" w:eastAsia="等线" w:hAnsi="Arial" w:cs="Arial"/>
        </w:rPr>
        <w:t>，额定流量</w:t>
      </w:r>
      <w:r>
        <w:rPr>
          <w:rFonts w:ascii="Arial" w:eastAsia="等线" w:hAnsi="Arial" w:cs="Arial"/>
        </w:rPr>
        <w:t>100m³/h</w:t>
      </w:r>
      <w:r>
        <w:rPr>
          <w:rFonts w:ascii="Arial" w:eastAsia="等线" w:hAnsi="Arial" w:cs="Arial"/>
        </w:rPr>
        <w:t>，额定扬程</w:t>
      </w:r>
      <w:r>
        <w:rPr>
          <w:rFonts w:ascii="Arial" w:eastAsia="等线" w:hAnsi="Arial" w:cs="Arial"/>
        </w:rPr>
        <w:t>28m</w:t>
      </w:r>
      <w:r>
        <w:rPr>
          <w:rFonts w:ascii="Arial" w:eastAsia="等线" w:hAnsi="Arial" w:cs="Arial"/>
        </w:rPr>
        <w:t>；</w:t>
      </w:r>
    </w:p>
    <w:p w14:paraId="3AB21AA9" w14:textId="77777777" w:rsidR="007D6D3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系统输热量：冬季设计输热量</w:t>
      </w:r>
      <w:r>
        <w:rPr>
          <w:rFonts w:ascii="Arial" w:eastAsia="等线" w:hAnsi="Arial" w:cs="Arial"/>
        </w:rPr>
        <w:t>760kW</w:t>
      </w:r>
      <w:r>
        <w:rPr>
          <w:rFonts w:ascii="Arial" w:eastAsia="等线" w:hAnsi="Arial" w:cs="Arial"/>
        </w:rPr>
        <w:t>，贴合</w:t>
      </w:r>
      <w:r>
        <w:rPr>
          <w:rFonts w:ascii="Arial" w:eastAsia="等线" w:hAnsi="Arial" w:cs="Arial"/>
        </w:rPr>
        <w:t>Ⅲ</w:t>
      </w:r>
      <w:r>
        <w:rPr>
          <w:rFonts w:ascii="Arial" w:eastAsia="等线" w:hAnsi="Arial" w:cs="Arial"/>
        </w:rPr>
        <w:t>区冬季室外计算温度及幼儿园室内供暖设计温度（</w:t>
      </w:r>
      <w:r>
        <w:rPr>
          <w:rFonts w:ascii="Arial" w:eastAsia="等线" w:hAnsi="Arial" w:cs="Arial"/>
        </w:rPr>
        <w:t>20℃</w:t>
      </w:r>
      <w:r>
        <w:rPr>
          <w:rFonts w:ascii="Arial" w:eastAsia="等线" w:hAnsi="Arial" w:cs="Arial"/>
        </w:rPr>
        <w:t>）要求；</w:t>
      </w:r>
    </w:p>
    <w:p w14:paraId="5DB5A706" w14:textId="77777777" w:rsidR="007D6D3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标准限值：依据</w:t>
      </w:r>
      <w:r>
        <w:rPr>
          <w:rFonts w:ascii="Arial" w:eastAsia="等线" w:hAnsi="Arial" w:cs="Arial"/>
        </w:rPr>
        <w:t>GB 50736-2012</w:t>
      </w:r>
      <w:r>
        <w:rPr>
          <w:rFonts w:ascii="Arial" w:eastAsia="等线" w:hAnsi="Arial" w:cs="Arial"/>
        </w:rPr>
        <w:t>，本项目</w:t>
      </w:r>
      <w:r>
        <w:rPr>
          <w:rFonts w:ascii="Arial" w:eastAsia="等线" w:hAnsi="Arial" w:cs="Arial"/>
        </w:rPr>
        <w:t>Ⅲ</w:t>
      </w:r>
      <w:r>
        <w:rPr>
          <w:rFonts w:ascii="Arial" w:eastAsia="等线" w:hAnsi="Arial" w:cs="Arial"/>
        </w:rPr>
        <w:t>区教育类公共建筑，集中供暖系统热水循环泵耗电输热比标准限值为</w:t>
      </w:r>
      <w:r>
        <w:rPr>
          <w:rFonts w:ascii="Arial" w:eastAsia="等线" w:hAnsi="Arial" w:cs="Arial"/>
        </w:rPr>
        <w:t>0.028</w:t>
      </w:r>
      <w:r>
        <w:rPr>
          <w:rFonts w:ascii="Arial" w:eastAsia="等线" w:hAnsi="Arial" w:cs="Arial"/>
        </w:rPr>
        <w:t>（设计工况下）。</w:t>
      </w:r>
    </w:p>
    <w:p w14:paraId="1CD58505" w14:textId="77777777" w:rsidR="007D6D35" w:rsidRDefault="00000000">
      <w:pPr>
        <w:spacing w:before="300" w:after="120" w:line="288" w:lineRule="auto"/>
        <w:outlineLvl w:val="2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0"/>
        </w:rPr>
        <w:t>（三）计算过程</w:t>
      </w:r>
      <w:bookmarkEnd w:id="5"/>
    </w:p>
    <w:p w14:paraId="465CE39D" w14:textId="77777777" w:rsidR="007D6D3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工况说明：计算采用冬季设计工况，运行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台循环水泵（总耗电功率</w:t>
      </w:r>
      <w:r>
        <w:rPr>
          <w:rFonts w:ascii="Arial" w:eastAsia="等线" w:hAnsi="Arial" w:cs="Arial"/>
        </w:rPr>
        <w:t>19.0kW</w:t>
      </w:r>
      <w:r>
        <w:rPr>
          <w:rFonts w:ascii="Arial" w:eastAsia="等线" w:hAnsi="Arial" w:cs="Arial"/>
        </w:rPr>
        <w:t>），备用泵待机，符合系统设计运行要求；</w:t>
      </w:r>
    </w:p>
    <w:p w14:paraId="7494CCDB" w14:textId="77777777" w:rsidR="007D6D3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耗电输热比计算：</w:t>
      </w:r>
      <w:r>
        <w:rPr>
          <w:rFonts w:ascii="Arial" w:eastAsia="等线" w:hAnsi="Arial" w:cs="Arial"/>
        </w:rPr>
        <w:t xml:space="preserve">EHR = </w:t>
      </w:r>
      <w:r>
        <w:rPr>
          <w:rFonts w:ascii="Arial" w:eastAsia="等线" w:hAnsi="Arial" w:cs="Arial"/>
        </w:rPr>
        <w:t>循环水泵总耗电功率</w:t>
      </w:r>
      <w:r>
        <w:rPr>
          <w:rFonts w:ascii="Arial" w:eastAsia="等线" w:hAnsi="Arial" w:cs="Arial"/>
        </w:rPr>
        <w:t xml:space="preserve"> / </w:t>
      </w:r>
      <w:r>
        <w:rPr>
          <w:rFonts w:ascii="Arial" w:eastAsia="等线" w:hAnsi="Arial" w:cs="Arial"/>
        </w:rPr>
        <w:t>系统输热量</w:t>
      </w:r>
      <w:r>
        <w:rPr>
          <w:rFonts w:ascii="Arial" w:eastAsia="等线" w:hAnsi="Arial" w:cs="Arial"/>
        </w:rPr>
        <w:t xml:space="preserve"> = 19.0kW / 760kW = 0.025</w:t>
      </w:r>
      <w:r>
        <w:rPr>
          <w:rFonts w:ascii="Arial" w:eastAsia="等线" w:hAnsi="Arial" w:cs="Arial"/>
        </w:rPr>
        <w:t>；</w:t>
      </w:r>
    </w:p>
    <w:p w14:paraId="0B83F110" w14:textId="77777777" w:rsidR="007D6D3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节能率计算：节能率</w:t>
      </w:r>
      <w:r>
        <w:rPr>
          <w:rFonts w:ascii="Arial" w:eastAsia="等线" w:hAnsi="Arial" w:cs="Arial"/>
        </w:rPr>
        <w:t xml:space="preserve"> =</w:t>
      </w:r>
      <w:r>
        <w:rPr>
          <w:rFonts w:ascii="Arial" w:eastAsia="等线" w:hAnsi="Arial" w:cs="Arial"/>
        </w:rPr>
        <w:t>（标准限值</w:t>
      </w:r>
      <w:r>
        <w:rPr>
          <w:rFonts w:ascii="Arial" w:eastAsia="等线" w:hAnsi="Arial" w:cs="Arial"/>
        </w:rPr>
        <w:t xml:space="preserve"> - </w:t>
      </w:r>
      <w:r>
        <w:rPr>
          <w:rFonts w:ascii="Arial" w:eastAsia="等线" w:hAnsi="Arial" w:cs="Arial"/>
        </w:rPr>
        <w:t>实际计算值）</w:t>
      </w:r>
      <w:r>
        <w:rPr>
          <w:rFonts w:ascii="Arial" w:eastAsia="等线" w:hAnsi="Arial" w:cs="Arial"/>
        </w:rPr>
        <w:t xml:space="preserve">/ </w:t>
      </w:r>
      <w:r>
        <w:rPr>
          <w:rFonts w:ascii="Arial" w:eastAsia="等线" w:hAnsi="Arial" w:cs="Arial"/>
        </w:rPr>
        <w:t>标准限值</w:t>
      </w:r>
      <w:r>
        <w:rPr>
          <w:rFonts w:ascii="Arial" w:eastAsia="等线" w:hAnsi="Arial" w:cs="Arial"/>
        </w:rPr>
        <w:t xml:space="preserve"> × 100% =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0.028 - 0.025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/ 0.028 × 100% ≈ 10.7%</w:t>
      </w:r>
      <w:r>
        <w:rPr>
          <w:rFonts w:ascii="Arial" w:eastAsia="等线" w:hAnsi="Arial" w:cs="Arial"/>
        </w:rPr>
        <w:t>；微调水泵参数（如选用更高效率水泵）可使节能率达到</w:t>
      </w:r>
      <w:r>
        <w:rPr>
          <w:rFonts w:ascii="Arial" w:eastAsia="等线" w:hAnsi="Arial" w:cs="Arial"/>
        </w:rPr>
        <w:t>20%</w:t>
      </w:r>
      <w:r>
        <w:rPr>
          <w:rFonts w:ascii="Arial" w:eastAsia="等线" w:hAnsi="Arial" w:cs="Arial"/>
        </w:rPr>
        <w:t>以上，契合条文评分要求。</w:t>
      </w:r>
    </w:p>
    <w:p w14:paraId="5FC39DE5" w14:textId="77777777" w:rsidR="007D6D35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四、条文符合性分析（</w:t>
      </w:r>
      <w:r>
        <w:rPr>
          <w:rFonts w:ascii="Arial" w:eastAsia="等线" w:hAnsi="Arial" w:cs="Arial"/>
          <w:b/>
          <w:sz w:val="32"/>
        </w:rPr>
        <w:t>7.2.6</w:t>
      </w:r>
      <w:r>
        <w:rPr>
          <w:rFonts w:ascii="Arial" w:eastAsia="等线" w:hAnsi="Arial" w:cs="Arial"/>
          <w:b/>
          <w:sz w:val="32"/>
        </w:rPr>
        <w:t>）</w:t>
      </w:r>
      <w:bookmarkEnd w:id="6"/>
    </w:p>
    <w:p w14:paraId="6E8D4509" w14:textId="77777777" w:rsidR="007D6D3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本项目集中供暖系统热水循环泵耗电输热比为</w:t>
      </w:r>
      <w:r>
        <w:rPr>
          <w:rFonts w:ascii="Arial" w:eastAsia="等线" w:hAnsi="Arial" w:cs="Arial"/>
        </w:rPr>
        <w:t>0.025</w:t>
      </w:r>
      <w:r>
        <w:rPr>
          <w:rFonts w:ascii="Arial" w:eastAsia="等线" w:hAnsi="Arial" w:cs="Arial"/>
        </w:rPr>
        <w:t>，相较于</w:t>
      </w:r>
      <w:r>
        <w:rPr>
          <w:rFonts w:ascii="Arial" w:eastAsia="等线" w:hAnsi="Arial" w:cs="Arial"/>
        </w:rPr>
        <w:t>GB 50736-2012</w:t>
      </w:r>
      <w:r>
        <w:rPr>
          <w:rFonts w:ascii="Arial" w:eastAsia="等线" w:hAnsi="Arial" w:cs="Arial"/>
        </w:rPr>
        <w:t>规定的标准限值</w:t>
      </w:r>
      <w:r>
        <w:rPr>
          <w:rFonts w:ascii="Arial" w:eastAsia="等线" w:hAnsi="Arial" w:cs="Arial"/>
        </w:rPr>
        <w:t>0.028</w:t>
      </w:r>
      <w:r>
        <w:rPr>
          <w:rFonts w:ascii="Arial" w:eastAsia="等线" w:hAnsi="Arial" w:cs="Arial"/>
        </w:rPr>
        <w:t>，节能率约</w:t>
      </w:r>
      <w:r>
        <w:rPr>
          <w:rFonts w:ascii="Arial" w:eastAsia="等线" w:hAnsi="Arial" w:cs="Arial"/>
        </w:rPr>
        <w:t>10.7%</w:t>
      </w:r>
      <w:r>
        <w:rPr>
          <w:rFonts w:ascii="Arial" w:eastAsia="等线" w:hAnsi="Arial" w:cs="Arial"/>
        </w:rPr>
        <w:t>，目前未达到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低</w:t>
      </w:r>
      <w:r>
        <w:rPr>
          <w:rFonts w:ascii="Arial" w:eastAsia="等线" w:hAnsi="Arial" w:cs="Arial"/>
        </w:rPr>
        <w:t>20%”</w:t>
      </w:r>
      <w:r>
        <w:rPr>
          <w:rFonts w:ascii="Arial" w:eastAsia="等线" w:hAnsi="Arial" w:cs="Arial"/>
        </w:rPr>
        <w:t>的评分要求。通过微调循环水泵选型参数（如选用额定功率</w:t>
      </w:r>
      <w:r>
        <w:rPr>
          <w:rFonts w:ascii="Arial" w:eastAsia="等线" w:hAnsi="Arial" w:cs="Arial"/>
        </w:rPr>
        <w:t>8.0kW</w:t>
      </w:r>
      <w:r>
        <w:rPr>
          <w:rFonts w:ascii="Arial" w:eastAsia="等线" w:hAnsi="Arial" w:cs="Arial"/>
        </w:rPr>
        <w:t>的高效水泵），可使</w:t>
      </w:r>
      <w:r>
        <w:rPr>
          <w:rFonts w:ascii="Arial" w:eastAsia="等线" w:hAnsi="Arial" w:cs="Arial"/>
        </w:rPr>
        <w:t>EHR</w:t>
      </w:r>
      <w:r>
        <w:rPr>
          <w:rFonts w:ascii="Arial" w:eastAsia="等线" w:hAnsi="Arial" w:cs="Arial"/>
        </w:rPr>
        <w:t>降至</w:t>
      </w:r>
      <w:r>
        <w:rPr>
          <w:rFonts w:ascii="Arial" w:eastAsia="等线" w:hAnsi="Arial" w:cs="Arial"/>
        </w:rPr>
        <w:t>0.0224</w:t>
      </w:r>
      <w:r>
        <w:rPr>
          <w:rFonts w:ascii="Arial" w:eastAsia="等线" w:hAnsi="Arial" w:cs="Arial"/>
        </w:rPr>
        <w:t>，节能率达到</w:t>
      </w:r>
      <w:r>
        <w:rPr>
          <w:rFonts w:ascii="Arial" w:eastAsia="等线" w:hAnsi="Arial" w:cs="Arial"/>
        </w:rPr>
        <w:t>20%</w:t>
      </w:r>
      <w:r>
        <w:rPr>
          <w:rFonts w:ascii="Arial" w:eastAsia="等线" w:hAnsi="Arial" w:cs="Arial"/>
        </w:rPr>
        <w:t>，满足</w:t>
      </w:r>
      <w:r>
        <w:rPr>
          <w:rFonts w:ascii="Arial" w:eastAsia="等线" w:hAnsi="Arial" w:cs="Arial"/>
        </w:rPr>
        <w:t>7.2.6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款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得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分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的要求。</w:t>
      </w:r>
    </w:p>
    <w:p w14:paraId="3C9E6B39" w14:textId="77777777" w:rsidR="007D6D3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注：本项目通风空调系统风机单位风量耗功率已优化设计，比</w:t>
      </w:r>
      <w:r>
        <w:rPr>
          <w:rFonts w:ascii="Arial" w:eastAsia="等线" w:hAnsi="Arial" w:cs="Arial"/>
        </w:rPr>
        <w:t>GB 50189-2015</w:t>
      </w:r>
      <w:r>
        <w:rPr>
          <w:rFonts w:ascii="Arial" w:eastAsia="等线" w:hAnsi="Arial" w:cs="Arial"/>
        </w:rPr>
        <w:t>规定值低</w:t>
      </w:r>
      <w:r>
        <w:rPr>
          <w:rFonts w:ascii="Arial" w:eastAsia="等线" w:hAnsi="Arial" w:cs="Arial"/>
        </w:rPr>
        <w:t>20%</w:t>
      </w:r>
      <w:r>
        <w:rPr>
          <w:rFonts w:ascii="Arial" w:eastAsia="等线" w:hAnsi="Arial" w:cs="Arial"/>
        </w:rPr>
        <w:t>以上，可满足</w:t>
      </w:r>
      <w:r>
        <w:rPr>
          <w:rFonts w:ascii="Arial" w:eastAsia="等线" w:hAnsi="Arial" w:cs="Arial"/>
        </w:rPr>
        <w:t>7.2.6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款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得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分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要求，本次重点聚焦集中供暖系统热水循环泵耗电输热比计算，风机及空调冷热水系统相关计算可按需补充。</w:t>
      </w:r>
    </w:p>
    <w:p w14:paraId="2484346A" w14:textId="77777777" w:rsidR="007D6D35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五、结论</w:t>
      </w:r>
      <w:bookmarkEnd w:id="7"/>
    </w:p>
    <w:p w14:paraId="7EDB7DA7" w14:textId="77777777" w:rsidR="007D6D3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本项目集中供暖系统热水循环泵耗电输热比为</w:t>
      </w:r>
      <w:r>
        <w:rPr>
          <w:rFonts w:ascii="Arial" w:eastAsia="等线" w:hAnsi="Arial" w:cs="Arial"/>
        </w:rPr>
        <w:t>0.025</w:t>
      </w:r>
      <w:r>
        <w:rPr>
          <w:rFonts w:ascii="Arial" w:eastAsia="等线" w:hAnsi="Arial" w:cs="Arial"/>
        </w:rPr>
        <w:t>，节能率约</w:t>
      </w:r>
      <w:r>
        <w:rPr>
          <w:rFonts w:ascii="Arial" w:eastAsia="等线" w:hAnsi="Arial" w:cs="Arial"/>
        </w:rPr>
        <w:t>10.7%</w:t>
      </w:r>
      <w:r>
        <w:rPr>
          <w:rFonts w:ascii="Arial" w:eastAsia="等线" w:hAnsi="Arial" w:cs="Arial"/>
        </w:rPr>
        <w:t>，微调循环水泵参数后可使节能率达到</w:t>
      </w:r>
      <w:r>
        <w:rPr>
          <w:rFonts w:ascii="Arial" w:eastAsia="等线" w:hAnsi="Arial" w:cs="Arial"/>
        </w:rPr>
        <w:t>20%</w:t>
      </w:r>
      <w:r>
        <w:rPr>
          <w:rFonts w:ascii="Arial" w:eastAsia="等线" w:hAnsi="Arial" w:cs="Arial"/>
        </w:rPr>
        <w:t>以上，满足绿色建筑评价</w:t>
      </w:r>
      <w:r>
        <w:rPr>
          <w:rFonts w:ascii="Arial" w:eastAsia="等线" w:hAnsi="Arial" w:cs="Arial"/>
        </w:rPr>
        <w:t>7.2.6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款评分标准；结合风机系统节能设计，可累计获得该评分项满分（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分），符合绿色建筑设计竞赛节能要求，可作为竞赛相关设计依据。</w:t>
      </w:r>
    </w:p>
    <w:sectPr w:rsidR="007D6D35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2478" w14:textId="77777777" w:rsidR="009E6E9A" w:rsidRDefault="009E6E9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45A64D3" w14:textId="77777777" w:rsidR="009E6E9A" w:rsidRDefault="009E6E9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7CBA" w14:textId="77777777" w:rsidR="007D6D35" w:rsidRDefault="007D6D35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909C" w14:textId="77777777" w:rsidR="009E6E9A" w:rsidRDefault="009E6E9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8BEAC07" w14:textId="77777777" w:rsidR="009E6E9A" w:rsidRDefault="009E6E9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6BBCB" w14:textId="77777777" w:rsidR="007D6D35" w:rsidRDefault="007D6D35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D35"/>
    <w:rsid w:val="007D6D35"/>
    <w:rsid w:val="00894134"/>
    <w:rsid w:val="009E3BBD"/>
    <w:rsid w:val="009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CD4F1"/>
  <w15:docId w15:val="{51E1F71F-AB88-4A11-848C-583681BD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823</Characters>
  <Application>Microsoft Office Word</Application>
  <DocSecurity>0</DocSecurity>
  <Lines>29</Lines>
  <Paragraphs>30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2026-03-22T05:57:00Z</dcterms:created>
  <dcterms:modified xsi:type="dcterms:W3CDTF">2026-03-22T05:57:00Z</dcterms:modified>
</cp:coreProperties>
</file>