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94C2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3A22C7A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061EB08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042BE8CD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13918D6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741DEC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144F399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5CBCB255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48AEF74F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58ED0B53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747FA295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65F54C33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10542399"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</w:t>
      </w:r>
      <w:r>
        <w:rPr>
          <w:rFonts w:hint="eastAsia"/>
          <w:u w:val="single"/>
        </w:rPr>
        <w:t>苇间见·呼和浩特南湖湿地观鸟生态草屋设计</w:t>
      </w:r>
      <w:r>
        <w:rPr>
          <w:u w:val="single"/>
          <w:lang w:eastAsia="zh-CN"/>
        </w:rPr>
        <w:t xml:space="preserve">             </w:t>
      </w:r>
    </w:p>
    <w:p w14:paraId="42DAC188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7D129B88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72B73F1E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0AAAB63F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0232ED01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380F383B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5E8C531E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6BCDC434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5109A210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53803E20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17F19896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59D65D3E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3A4E5CB4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6D95C16F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3954FC87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1EEF6C0E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1089EF86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29752690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1E9C4951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4C81558A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45305EF1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42BBE547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7B6CD50E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1429132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5A02C86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36D04E1F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5B53DED1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呼和浩特市玉泉区</w:t>
      </w:r>
      <w:r>
        <w:rPr>
          <w:spacing w:val="4"/>
          <w:u w:val="single"/>
          <w:lang w:eastAsia="zh-CN"/>
        </w:rPr>
        <w:t xml:space="preserve">         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2058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rFonts w:hint="eastAsia" w:ascii="Calibri" w:hAnsi="Calibri" w:eastAsia="Calibri" w:cs="Calibri"/>
          <w:w w:val="95"/>
          <w:u w:val="single" w:color="000000"/>
          <w:lang w:val="en-US" w:eastAsia="zh-CN"/>
        </w:rPr>
        <w:t>1176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1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200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2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1176</w:t>
      </w:r>
      <w:r>
        <w:rPr>
          <w:rFonts w:ascii="Calibri" w:hAnsi="Calibri" w:eastAsia="Calibri" w:cs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24DE7A59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585E7424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6FB98E84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728CD8CD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667FC406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0B37DC8A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450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689C2204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val="en-US" w:eastAsia="zh-CN"/>
        </w:rPr>
        <w:t>480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5C682F78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37FF64C4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6CFEEA8F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南湖湿地公园站（主站，滨河南路）</w:t>
      </w:r>
      <w:r>
        <w:rPr>
          <w:b w:val="0"/>
          <w:w w:val="95"/>
          <w:u w:val="single"/>
          <w:lang w:eastAsia="zh-CN"/>
        </w:rPr>
        <w:t xml:space="preserve">         </w:t>
      </w:r>
    </w:p>
    <w:p w14:paraId="1A5892D4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湿地公园东门站（K3路专用）</w:t>
      </w:r>
      <w:r>
        <w:rPr>
          <w:b w:val="0"/>
          <w:w w:val="95"/>
          <w:u w:val="single"/>
          <w:lang w:eastAsia="zh-CN"/>
        </w:rPr>
        <w:t xml:space="preserve">                              </w:t>
      </w:r>
    </w:p>
    <w:p w14:paraId="6E7E42F6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36CA5A61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11055CAF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 w14:paraId="14FEB32D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</w:p>
    <w:p w14:paraId="44408ED7">
      <w:pPr>
        <w:pStyle w:val="4"/>
        <w:spacing w:before="0"/>
        <w:ind w:left="0" w:leftChars="0" w:firstLine="0" w:firstLineChars="0"/>
        <w:rPr>
          <w:rFonts w:hint="eastAsia"/>
          <w:b w:val="0"/>
          <w:bCs w:val="0"/>
          <w:u w:val="single"/>
          <w:lang w:eastAsia="zh-CN"/>
        </w:rPr>
      </w:pPr>
      <w:r>
        <w:rPr>
          <w:rFonts w:hint="eastAsia"/>
          <w:b w:val="0"/>
          <w:bCs w:val="0"/>
          <w:u w:val="single"/>
          <w:lang w:eastAsia="zh-CN"/>
        </w:rPr>
        <w:drawing>
          <wp:inline distT="0" distB="0" distL="114300" distR="114300">
            <wp:extent cx="5424805" cy="3916680"/>
            <wp:effectExtent l="0" t="0" r="635" b="0"/>
            <wp:docPr id="3" name="图片 3" descr="路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路线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14275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315E8094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5ECDE574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200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17C0ED78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val="en-US" w:eastAsia="zh-CN"/>
        </w:rPr>
        <w:t>450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14B89DA0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2719A6F6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79163191">
      <w:pPr>
        <w:pStyle w:val="4"/>
        <w:spacing w:before="0"/>
        <w:rPr>
          <w:rFonts w:hint="eastAsia" w:cs="宋体"/>
          <w:lang w:eastAsia="zh-CN"/>
        </w:rPr>
      </w:pPr>
    </w:p>
    <w:p w14:paraId="306F6534">
      <w:pPr>
        <w:pStyle w:val="4"/>
        <w:spacing w:before="0"/>
        <w:rPr>
          <w:rFonts w:hint="eastAsia" w:cs="宋体"/>
          <w:lang w:eastAsia="zh-CN"/>
        </w:rPr>
      </w:pPr>
    </w:p>
    <w:p w14:paraId="53E40EF3">
      <w:pPr>
        <w:pStyle w:val="4"/>
        <w:spacing w:before="0"/>
        <w:rPr>
          <w:rFonts w:hint="eastAsia" w:cs="宋体"/>
          <w:lang w:eastAsia="zh-CN"/>
        </w:rPr>
      </w:pPr>
    </w:p>
    <w:p w14:paraId="4BA4B6CC">
      <w:pPr>
        <w:pStyle w:val="4"/>
        <w:spacing w:before="0"/>
        <w:rPr>
          <w:rFonts w:hint="eastAsia" w:cs="宋体"/>
          <w:lang w:eastAsia="zh-CN"/>
        </w:rPr>
      </w:pPr>
      <w:r>
        <w:rPr>
          <w:rFonts w:hint="eastAsia" w:cs="宋体"/>
          <w:lang w:eastAsia="zh-CN"/>
        </w:rPr>
        <w:drawing>
          <wp:inline distT="0" distB="0" distL="114300" distR="114300">
            <wp:extent cx="5429250" cy="3502025"/>
            <wp:effectExtent l="0" t="0" r="11430" b="3175"/>
            <wp:docPr id="4" name="图片 4" descr="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6E90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403891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169BCB2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D29B15F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82DE02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7864C2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74BF79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7A8B7A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934E40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D89D006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94D91BF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0F9E58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7440C487">
      <w:pPr>
        <w:pStyle w:val="4"/>
        <w:ind w:left="0"/>
        <w:rPr>
          <w:rFonts w:hint="eastAsia"/>
          <w:lang w:eastAsia="zh-CN"/>
        </w:rPr>
      </w:pPr>
    </w:p>
    <w:p w14:paraId="07DF558B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3611C6CD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cs="宋体"/>
          <w:bCs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cs="宋体"/>
          <w:bCs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23</w:t>
      </w:r>
      <w:bookmarkStart w:id="0" w:name="_GoBack"/>
      <w:bookmarkEnd w:id="0"/>
      <w:r>
        <w:rPr>
          <w:lang w:eastAsia="zh-CN"/>
        </w:rPr>
        <w:t>分。</w:t>
      </w:r>
    </w:p>
    <w:p w14:paraId="6FD94CC9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02B6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19</TotalTime>
  <ScaleCrop>false</ScaleCrop>
  <LinksUpToDate>false</LinksUpToDate>
  <CharactersWithSpaces>1366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lucky    girl</cp:lastModifiedBy>
  <dcterms:modified xsi:type="dcterms:W3CDTF">2026-03-21T11:06:03Z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eyJoZGlkIjoiMTExZTUwNmE5YzQwMmI2MmQ0OTg0YmI4MzBmMjE1YjgiLCJ1c2VySWQiOiIxMTM2MzAyNTc0In0=</vt:lpwstr>
  </property>
  <property fmtid="{D5CDD505-2E9C-101B-9397-08002B2CF9AE}" pid="5" name="KSOProductBuildVer">
    <vt:lpwstr>2052-12.1.0.25225</vt:lpwstr>
  </property>
  <property fmtid="{D5CDD505-2E9C-101B-9397-08002B2CF9AE}" pid="6" name="ICV">
    <vt:lpwstr>5C3428F56F054F3C8D5FE6695E99CDF3_13</vt:lpwstr>
  </property>
</Properties>
</file>