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A1846">
      <w:pPr>
        <w:spacing w:line="180" w:lineRule="atLeast"/>
        <w:rPr>
          <w:rFonts w:ascii="宋体" w:hAnsi="宋体"/>
          <w:b/>
          <w:bCs/>
          <w:sz w:val="32"/>
          <w:szCs w:val="32"/>
        </w:rPr>
      </w:pPr>
    </w:p>
    <w:p w14:paraId="3A9E48C3">
      <w:pPr>
        <w:widowControl w:val="0"/>
        <w:spacing w:after="312" w:afterLines="100" w:line="240" w:lineRule="auto"/>
        <w:rPr>
          <w:rFonts w:ascii="宋体" w:hAnsi="宋体"/>
          <w:b/>
          <w:bCs/>
          <w:kern w:val="2"/>
          <w:sz w:val="30"/>
          <w:szCs w:val="24"/>
          <w:lang w:val="en-US"/>
        </w:rPr>
      </w:pPr>
    </w:p>
    <w:p w14:paraId="40D1C831">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2D80FAB3">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F89F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C1797A8">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E36F1AC">
            <w:pPr>
              <w:pStyle w:val="18"/>
              <w:tabs>
                <w:tab w:val="clear" w:pos="4153"/>
                <w:tab w:val="clear" w:pos="8306"/>
              </w:tabs>
              <w:snapToGrid/>
              <w:jc w:val="both"/>
              <w:rPr>
                <w:rFonts w:ascii="宋体" w:hAnsi="宋体"/>
                <w:szCs w:val="21"/>
              </w:rPr>
            </w:pPr>
            <w:bookmarkStart w:id="1" w:name="项目名称"/>
            <w:bookmarkEnd w:id="1"/>
          </w:p>
        </w:tc>
      </w:tr>
      <w:tr w14:paraId="4543C1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8CEB80">
            <w:pPr>
              <w:jc w:val="both"/>
              <w:rPr>
                <w:rFonts w:ascii="宋体" w:hAnsi="宋体"/>
                <w:szCs w:val="21"/>
              </w:rPr>
            </w:pPr>
            <w:r>
              <w:rPr>
                <w:rFonts w:hint="eastAsia" w:ascii="宋体" w:hAnsi="宋体"/>
                <w:szCs w:val="21"/>
              </w:rPr>
              <w:t>工程地点</w:t>
            </w:r>
          </w:p>
        </w:tc>
        <w:tc>
          <w:tcPr>
            <w:tcW w:w="3780" w:type="dxa"/>
          </w:tcPr>
          <w:p w14:paraId="3FC58A82">
            <w:pPr>
              <w:jc w:val="both"/>
              <w:rPr>
                <w:rFonts w:hint="eastAsia" w:ascii="宋体" w:hAnsi="宋体" w:eastAsia="宋体"/>
                <w:szCs w:val="21"/>
                <w:lang w:eastAsia="zh-CN"/>
              </w:rPr>
            </w:pPr>
            <w:r>
              <w:rPr>
                <w:rFonts w:hint="eastAsia"/>
                <w:lang w:val="en-US" w:eastAsia="zh-CN"/>
              </w:rPr>
              <w:t>呼和浩特</w:t>
            </w:r>
          </w:p>
        </w:tc>
      </w:tr>
      <w:tr w14:paraId="2A1FB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677E1F">
            <w:pPr>
              <w:jc w:val="both"/>
              <w:rPr>
                <w:rFonts w:ascii="宋体" w:hAnsi="宋体"/>
                <w:szCs w:val="21"/>
              </w:rPr>
            </w:pPr>
            <w:r>
              <w:rPr>
                <w:rFonts w:hint="eastAsia" w:ascii="宋体" w:hAnsi="宋体"/>
                <w:szCs w:val="21"/>
              </w:rPr>
              <w:t>设计编号</w:t>
            </w:r>
          </w:p>
        </w:tc>
        <w:tc>
          <w:tcPr>
            <w:tcW w:w="3780" w:type="dxa"/>
          </w:tcPr>
          <w:p w14:paraId="47E93E7B">
            <w:pPr>
              <w:jc w:val="both"/>
              <w:rPr>
                <w:rFonts w:ascii="宋体" w:hAnsi="宋体"/>
                <w:szCs w:val="21"/>
              </w:rPr>
            </w:pPr>
            <w:bookmarkStart w:id="2" w:name="设计编号"/>
            <w:bookmarkEnd w:id="2"/>
          </w:p>
        </w:tc>
      </w:tr>
      <w:tr w14:paraId="10241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C0A33F">
            <w:pPr>
              <w:jc w:val="both"/>
              <w:rPr>
                <w:rFonts w:ascii="宋体" w:hAnsi="宋体"/>
                <w:szCs w:val="21"/>
              </w:rPr>
            </w:pPr>
            <w:r>
              <w:rPr>
                <w:rFonts w:hint="eastAsia" w:ascii="宋体" w:hAnsi="宋体"/>
                <w:szCs w:val="21"/>
              </w:rPr>
              <w:t>建设单位</w:t>
            </w:r>
          </w:p>
        </w:tc>
        <w:tc>
          <w:tcPr>
            <w:tcW w:w="3780" w:type="dxa"/>
          </w:tcPr>
          <w:p w14:paraId="42418E83">
            <w:pPr>
              <w:rPr>
                <w:rFonts w:ascii="宋体" w:hAnsi="宋体"/>
                <w:szCs w:val="21"/>
              </w:rPr>
            </w:pPr>
            <w:bookmarkStart w:id="3" w:name="建设单位"/>
            <w:bookmarkEnd w:id="3"/>
          </w:p>
        </w:tc>
      </w:tr>
      <w:tr w14:paraId="6DF7B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6BBF43">
            <w:pPr>
              <w:jc w:val="both"/>
              <w:rPr>
                <w:rFonts w:ascii="宋体" w:hAnsi="宋体"/>
                <w:szCs w:val="21"/>
              </w:rPr>
            </w:pPr>
            <w:r>
              <w:rPr>
                <w:rFonts w:hint="eastAsia" w:ascii="宋体" w:hAnsi="宋体"/>
                <w:szCs w:val="21"/>
              </w:rPr>
              <w:t>设计单位</w:t>
            </w:r>
          </w:p>
        </w:tc>
        <w:tc>
          <w:tcPr>
            <w:tcW w:w="3780" w:type="dxa"/>
          </w:tcPr>
          <w:p w14:paraId="3EF8102D">
            <w:pPr>
              <w:rPr>
                <w:rFonts w:ascii="宋体" w:hAnsi="宋体"/>
                <w:szCs w:val="21"/>
              </w:rPr>
            </w:pPr>
            <w:bookmarkStart w:id="4" w:name="设计单位"/>
            <w:bookmarkEnd w:id="4"/>
          </w:p>
        </w:tc>
      </w:tr>
      <w:tr w14:paraId="1F094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D81737">
            <w:pPr>
              <w:jc w:val="both"/>
              <w:rPr>
                <w:rFonts w:ascii="宋体" w:hAnsi="宋体"/>
                <w:szCs w:val="21"/>
              </w:rPr>
            </w:pPr>
            <w:r>
              <w:rPr>
                <w:rFonts w:hint="eastAsia" w:ascii="宋体" w:hAnsi="宋体"/>
                <w:szCs w:val="21"/>
              </w:rPr>
              <w:t>设 计 人</w:t>
            </w:r>
          </w:p>
        </w:tc>
        <w:tc>
          <w:tcPr>
            <w:tcW w:w="3780" w:type="dxa"/>
          </w:tcPr>
          <w:p w14:paraId="180B4E14">
            <w:pPr>
              <w:rPr>
                <w:rFonts w:ascii="宋体" w:hAnsi="宋体"/>
                <w:szCs w:val="21"/>
              </w:rPr>
            </w:pPr>
          </w:p>
        </w:tc>
      </w:tr>
      <w:tr w14:paraId="243E9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01F4FC">
            <w:pPr>
              <w:jc w:val="both"/>
              <w:rPr>
                <w:rFonts w:ascii="宋体" w:hAnsi="宋体"/>
                <w:szCs w:val="21"/>
              </w:rPr>
            </w:pPr>
            <w:r>
              <w:rPr>
                <w:rFonts w:hint="eastAsia" w:ascii="宋体" w:hAnsi="宋体"/>
                <w:szCs w:val="21"/>
              </w:rPr>
              <w:t>校 对 人</w:t>
            </w:r>
          </w:p>
        </w:tc>
        <w:tc>
          <w:tcPr>
            <w:tcW w:w="3780" w:type="dxa"/>
          </w:tcPr>
          <w:p w14:paraId="00E8B1FE">
            <w:pPr>
              <w:rPr>
                <w:rFonts w:ascii="宋体" w:hAnsi="宋体"/>
                <w:szCs w:val="21"/>
              </w:rPr>
            </w:pPr>
          </w:p>
        </w:tc>
      </w:tr>
      <w:tr w14:paraId="41F19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E96015">
            <w:pPr>
              <w:jc w:val="both"/>
              <w:rPr>
                <w:rFonts w:ascii="宋体" w:hAnsi="宋体"/>
                <w:szCs w:val="21"/>
              </w:rPr>
            </w:pPr>
            <w:r>
              <w:rPr>
                <w:rFonts w:hint="eastAsia" w:ascii="宋体" w:hAnsi="宋体"/>
                <w:szCs w:val="21"/>
              </w:rPr>
              <w:t>审 核 人</w:t>
            </w:r>
          </w:p>
        </w:tc>
        <w:tc>
          <w:tcPr>
            <w:tcW w:w="3780" w:type="dxa"/>
          </w:tcPr>
          <w:p w14:paraId="326D674F">
            <w:pPr>
              <w:rPr>
                <w:rFonts w:ascii="宋体" w:hAnsi="宋体"/>
                <w:szCs w:val="21"/>
              </w:rPr>
            </w:pPr>
          </w:p>
        </w:tc>
      </w:tr>
      <w:tr w14:paraId="181F9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78ACFD">
            <w:pPr>
              <w:jc w:val="both"/>
              <w:rPr>
                <w:rFonts w:ascii="宋体" w:hAnsi="宋体"/>
                <w:szCs w:val="21"/>
              </w:rPr>
            </w:pPr>
            <w:r>
              <w:rPr>
                <w:rFonts w:hint="eastAsia" w:ascii="宋体" w:hAnsi="宋体"/>
                <w:szCs w:val="21"/>
              </w:rPr>
              <w:t>审 定 人</w:t>
            </w:r>
          </w:p>
        </w:tc>
        <w:tc>
          <w:tcPr>
            <w:tcW w:w="3780" w:type="dxa"/>
          </w:tcPr>
          <w:p w14:paraId="3D959A46">
            <w:pPr>
              <w:rPr>
                <w:rFonts w:ascii="宋体" w:hAnsi="宋体"/>
                <w:szCs w:val="21"/>
              </w:rPr>
            </w:pPr>
          </w:p>
        </w:tc>
      </w:tr>
      <w:tr w14:paraId="3E2AC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A2EBDB">
            <w:pPr>
              <w:jc w:val="both"/>
              <w:rPr>
                <w:rFonts w:ascii="宋体" w:hAnsi="宋体"/>
                <w:szCs w:val="21"/>
              </w:rPr>
            </w:pPr>
            <w:r>
              <w:rPr>
                <w:rFonts w:hint="eastAsia" w:ascii="宋体" w:hAnsi="宋体"/>
                <w:szCs w:val="21"/>
              </w:rPr>
              <w:t>设计日期</w:t>
            </w:r>
          </w:p>
        </w:tc>
        <w:tc>
          <w:tcPr>
            <w:tcW w:w="3780" w:type="dxa"/>
          </w:tcPr>
          <w:p w14:paraId="28BF9D80">
            <w:pPr>
              <w:rPr>
                <w:rFonts w:ascii="宋体" w:hAnsi="宋体"/>
                <w:szCs w:val="21"/>
              </w:rPr>
            </w:pPr>
            <w:bookmarkStart w:id="5" w:name="报告日期"/>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w:t>
            </w:r>
            <w:bookmarkEnd w:id="5"/>
          </w:p>
        </w:tc>
      </w:tr>
    </w:tbl>
    <w:p w14:paraId="1CA7902A">
      <w:pPr>
        <w:spacing w:line="240" w:lineRule="auto"/>
        <w:rPr>
          <w:rFonts w:ascii="宋体" w:hAnsi="宋体"/>
          <w:lang w:val="en-US"/>
        </w:rPr>
      </w:pPr>
    </w:p>
    <w:p w14:paraId="10CFEEA3">
      <w:pPr>
        <w:spacing w:line="240" w:lineRule="auto"/>
        <w:rPr>
          <w:rFonts w:ascii="宋体" w:hAnsi="宋体"/>
          <w:lang w:val="en-US"/>
        </w:rPr>
      </w:pPr>
    </w:p>
    <w:p w14:paraId="09BBECBD">
      <w:pPr>
        <w:spacing w:line="240" w:lineRule="auto"/>
        <w:jc w:val="center"/>
        <w:rPr>
          <w:rFonts w:ascii="宋体" w:hAnsi="宋体"/>
          <w:lang w:val="en-US"/>
        </w:rPr>
      </w:pPr>
      <w:bookmarkStart w:id="6" w:name="二维码"/>
      <w:bookmarkEnd w:id="6"/>
      <w:r>
        <w:rPr>
          <w:lang w:val="en-US"/>
        </w:rP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3111033">
      <w:pPr>
        <w:spacing w:line="240" w:lineRule="auto"/>
        <w:rPr>
          <w:rFonts w:ascii="宋体" w:hAnsi="宋体"/>
          <w:lang w:val="en-US"/>
        </w:rPr>
      </w:pPr>
    </w:p>
    <w:p w14:paraId="1018BC64">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0279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1C35527">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0F2BA1C">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14:paraId="18852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842D00C">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3C98E50A">
            <w:pPr>
              <w:spacing w:line="240" w:lineRule="atLeast"/>
              <w:jc w:val="both"/>
              <w:rPr>
                <w:rFonts w:ascii="宋体" w:hAnsi="宋体"/>
                <w:szCs w:val="21"/>
              </w:rPr>
            </w:pPr>
            <w:bookmarkStart w:id="7" w:name="软件版本"/>
            <w:r>
              <w:rPr>
                <w:rFonts w:ascii="宋体" w:hAnsi="宋体"/>
                <w:szCs w:val="21"/>
              </w:rPr>
              <w:t>20210404</w:t>
            </w:r>
            <w:bookmarkEnd w:id="7"/>
          </w:p>
        </w:tc>
      </w:tr>
      <w:tr w14:paraId="4C759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BEF859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969E8C4">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B2F9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AD73914">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1FEB7CF">
            <w:pPr>
              <w:widowControl w:val="0"/>
              <w:spacing w:line="240" w:lineRule="auto"/>
              <w:jc w:val="both"/>
              <w:rPr>
                <w:rFonts w:ascii="宋体" w:hAnsi="宋体" w:eastAsia="等线"/>
                <w:kern w:val="2"/>
                <w:szCs w:val="21"/>
                <w:lang w:val="en-US"/>
              </w:rPr>
            </w:pPr>
            <w:bookmarkStart w:id="8" w:name="加密锁号"/>
            <w:r>
              <w:t>Nd98eaed6b4fb4243</w:t>
            </w:r>
            <w:bookmarkEnd w:id="8"/>
          </w:p>
        </w:tc>
      </w:tr>
    </w:tbl>
    <w:p w14:paraId="27B99F58">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462075E">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14:paraId="301260E3">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14:paraId="5DA1C6EF">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14:paraId="45B89249">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14:paraId="2C5B8B21">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14:paraId="678BAC4B">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14:paraId="4F69A602">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14:paraId="28E42A31">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14:paraId="3DAB9B2C">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14:paraId="7EA09584">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14:paraId="6239AB79">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14:paraId="135644E6">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14:paraId="76DBE344">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14:paraId="5E510D8E">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10</w:t>
      </w:r>
      <w:r>
        <w:fldChar w:fldCharType="end"/>
      </w:r>
      <w:r>
        <w:fldChar w:fldCharType="end"/>
      </w:r>
    </w:p>
    <w:p w14:paraId="3AFC7CCD">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14:paraId="237CA7B3">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14:paraId="65D9249C">
      <w:pPr>
        <w:pStyle w:val="2"/>
      </w:pPr>
      <w:bookmarkStart w:id="10" w:name="_Toc58243666"/>
      <w:bookmarkStart w:id="11" w:name="_Toc50050011"/>
      <w:bookmarkStart w:id="12" w:name="_Toc13735908"/>
      <w:bookmarkStart w:id="13" w:name="_Toc452108759"/>
      <w:bookmarkStart w:id="14" w:name="TitleFormat"/>
      <w:bookmarkStart w:id="15" w:name="_Toc452108762"/>
      <w:r>
        <w:rPr>
          <w:rFonts w:hint="eastAsia"/>
        </w:rPr>
        <w:t>项目概况</w:t>
      </w:r>
      <w:bookmarkEnd w:id="10"/>
      <w:bookmarkEnd w:id="11"/>
      <w:bookmarkEnd w:id="12"/>
      <w:bookmarkEnd w:id="13"/>
    </w:p>
    <w:p w14:paraId="6278DFB1">
      <w:pPr>
        <w:pStyle w:val="4"/>
      </w:pPr>
      <w:bookmarkStart w:id="16" w:name="项目概况"/>
      <w:bookmarkEnd w:id="16"/>
      <w:bookmarkStart w:id="17" w:name="_Toc452108760"/>
      <w:bookmarkStart w:id="18" w:name="_Toc13735909"/>
      <w:bookmarkStart w:id="19" w:name="_Toc58243667"/>
      <w:bookmarkStart w:id="20" w:name="_Toc50050012"/>
      <w:bookmarkStart w:id="21" w:name="平面图2"/>
      <w:r>
        <w:t>平面图</w:t>
      </w:r>
      <w:bookmarkEnd w:id="17"/>
      <w:bookmarkEnd w:id="18"/>
      <w:bookmarkEnd w:id="19"/>
      <w:bookmarkEnd w:id="20"/>
    </w:p>
    <w:p w14:paraId="22C73F9E">
      <w:pPr>
        <w:pStyle w:val="3"/>
        <w:ind w:firstLine="0" w:firstLineChars="0"/>
        <w:jc w:val="center"/>
        <w:rPr>
          <w:lang w:val="en-US"/>
        </w:rPr>
      </w:pPr>
      <w:bookmarkStart w:id="22" w:name="平面图"/>
      <w:bookmarkEnd w:id="22"/>
      <w:r>
        <w:drawing>
          <wp:inline distT="0" distB="0" distL="0" distR="0">
            <wp:extent cx="5667375" cy="387667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667375" cy="3876675"/>
                    </a:xfrm>
                    <a:prstGeom prst="rect">
                      <a:avLst/>
                    </a:prstGeom>
                  </pic:spPr>
                </pic:pic>
              </a:graphicData>
            </a:graphic>
          </wp:inline>
        </w:drawing>
      </w:r>
    </w:p>
    <w:p w14:paraId="707ECF3C">
      <w:pPr>
        <w:pStyle w:val="3"/>
        <w:ind w:firstLine="0" w:firstLineChars="0"/>
        <w:jc w:val="center"/>
        <w:rPr>
          <w:lang w:val="en-US"/>
        </w:rPr>
      </w:pPr>
      <w:r>
        <w:rPr>
          <w:lang w:val="en-US"/>
        </w:rPr>
        <w:t>1层平面</w:t>
      </w:r>
    </w:p>
    <w:p w14:paraId="0B4E75F1">
      <w:pPr>
        <w:pStyle w:val="3"/>
        <w:ind w:firstLine="0" w:firstLineChars="0"/>
        <w:jc w:val="center"/>
        <w:rPr>
          <w:lang w:val="en-US"/>
        </w:rPr>
      </w:pPr>
      <w:r>
        <w:drawing>
          <wp:inline distT="0" distB="0" distL="0" distR="0">
            <wp:extent cx="5667375" cy="3162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67375" cy="3162300"/>
                    </a:xfrm>
                    <a:prstGeom prst="rect">
                      <a:avLst/>
                    </a:prstGeom>
                  </pic:spPr>
                </pic:pic>
              </a:graphicData>
            </a:graphic>
          </wp:inline>
        </w:drawing>
      </w:r>
    </w:p>
    <w:p w14:paraId="41BF3CA1">
      <w:pPr>
        <w:pStyle w:val="3"/>
        <w:ind w:firstLine="0" w:firstLineChars="0"/>
        <w:jc w:val="center"/>
        <w:rPr>
          <w:lang w:val="en-US"/>
        </w:rPr>
      </w:pPr>
      <w:r>
        <w:rPr>
          <w:lang w:val="en-US"/>
        </w:rPr>
        <w:t>2层平面</w:t>
      </w:r>
    </w:p>
    <w:p w14:paraId="5FBFC393">
      <w:pPr>
        <w:pStyle w:val="3"/>
        <w:ind w:firstLine="0" w:firstLineChars="0"/>
        <w:jc w:val="center"/>
        <w:rPr>
          <w:lang w:val="en-US"/>
        </w:rPr>
      </w:pPr>
      <w:r>
        <w:drawing>
          <wp:inline distT="0" distB="0" distL="0" distR="0">
            <wp:extent cx="5667375" cy="3124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23531F10">
      <w:pPr>
        <w:pStyle w:val="3"/>
        <w:ind w:firstLine="0" w:firstLineChars="0"/>
        <w:jc w:val="center"/>
        <w:rPr>
          <w:lang w:val="en-US"/>
        </w:rPr>
      </w:pPr>
      <w:r>
        <w:rPr>
          <w:lang w:val="en-US"/>
        </w:rPr>
        <w:t>3层平面</w:t>
      </w:r>
    </w:p>
    <w:p w14:paraId="1E3688F0">
      <w:pPr>
        <w:pStyle w:val="3"/>
        <w:ind w:firstLine="0" w:firstLineChars="0"/>
        <w:jc w:val="center"/>
        <w:rPr>
          <w:lang w:val="en-US"/>
        </w:rPr>
      </w:pPr>
    </w:p>
    <w:p w14:paraId="50C774D2">
      <w:pPr>
        <w:pStyle w:val="3"/>
        <w:ind w:firstLine="0" w:firstLineChars="0"/>
        <w:jc w:val="center"/>
        <w:rPr>
          <w:lang w:val="en-US"/>
        </w:rPr>
      </w:pPr>
    </w:p>
    <w:bookmarkEnd w:id="21"/>
    <w:p w14:paraId="33015BD7">
      <w:pPr>
        <w:pStyle w:val="4"/>
      </w:pPr>
      <w:bookmarkStart w:id="23" w:name="_Toc13735910"/>
      <w:bookmarkStart w:id="24" w:name="_Toc50050013"/>
      <w:bookmarkStart w:id="25" w:name="_Toc58243668"/>
      <w:bookmarkStart w:id="26" w:name="_Toc452108761"/>
      <w:r>
        <w:rPr>
          <w:rFonts w:hint="eastAsia"/>
        </w:rPr>
        <w:t>三</w:t>
      </w:r>
      <w:r>
        <w:t>维视图</w:t>
      </w:r>
      <w:bookmarkEnd w:id="23"/>
      <w:bookmarkEnd w:id="24"/>
      <w:bookmarkEnd w:id="25"/>
      <w:bookmarkEnd w:id="26"/>
    </w:p>
    <w:p w14:paraId="1394D326">
      <w:pPr>
        <w:pStyle w:val="2"/>
      </w:pPr>
      <w:bookmarkStart w:id="27" w:name="三维视图"/>
      <w:bookmarkEnd w:id="27"/>
      <w:bookmarkStart w:id="28" w:name="模型观察"/>
      <w:bookmarkEnd w:id="28"/>
      <w:bookmarkStart w:id="29" w:name="_Toc58243669"/>
      <w:bookmarkStart w:id="30" w:name="_Toc50050014"/>
      <w:r>
        <w:rPr>
          <w:rFonts w:hint="eastAsia"/>
        </w:rPr>
        <w:t>计算</w:t>
      </w:r>
      <w:r>
        <w:t>依据</w:t>
      </w:r>
      <w:bookmarkEnd w:id="14"/>
      <w:bookmarkEnd w:id="15"/>
      <w:bookmarkEnd w:id="29"/>
      <w:bookmarkEnd w:id="30"/>
    </w:p>
    <w:p w14:paraId="46C2EB6C">
      <w:pPr>
        <w:pStyle w:val="3"/>
        <w:ind w:left="200" w:firstLine="0" w:firstLineChars="0"/>
        <w:rPr>
          <w:lang w:val="en-US"/>
        </w:rPr>
      </w:pPr>
      <w:bookmarkStart w:id="31" w:name="_Toc452108763"/>
      <w:r>
        <w:rPr>
          <w:rFonts w:hint="eastAsia"/>
          <w:lang w:val="en-US"/>
        </w:rPr>
        <w:t>本项目主要参照资料为：</w:t>
      </w:r>
    </w:p>
    <w:p w14:paraId="34587869">
      <w:pPr>
        <w:pStyle w:val="3"/>
        <w:ind w:left="200" w:firstLine="0" w:firstLineChars="0"/>
        <w:rPr>
          <w:lang w:val="en-US"/>
        </w:rPr>
      </w:pPr>
      <w:r>
        <w:rPr>
          <w:rFonts w:hint="eastAsia"/>
          <w:lang w:val="en-US"/>
        </w:rPr>
        <w:t>《绿色建筑评价标准》GB/T 50378-2019（2024年版）</w:t>
      </w:r>
    </w:p>
    <w:p w14:paraId="61EC8DFE">
      <w:pPr>
        <w:pStyle w:val="3"/>
        <w:ind w:left="200" w:firstLine="0" w:firstLineChars="0"/>
        <w:rPr>
          <w:lang w:val="en-US"/>
        </w:rPr>
      </w:pPr>
      <w:r>
        <w:rPr>
          <w:rFonts w:hint="eastAsia"/>
          <w:lang w:val="en-US"/>
        </w:rPr>
        <w:t>《建筑通风效果测试与评价标准》JGJ/T 309—2013</w:t>
      </w:r>
    </w:p>
    <w:p w14:paraId="59FD859D">
      <w:pPr>
        <w:pStyle w:val="3"/>
        <w:ind w:left="200" w:firstLine="0" w:firstLineChars="0"/>
        <w:rPr>
          <w:lang w:val="en-US"/>
        </w:rPr>
      </w:pPr>
      <w:r>
        <w:rPr>
          <w:rFonts w:hint="eastAsia"/>
          <w:lang w:val="en-US"/>
        </w:rPr>
        <w:t>《绿色建筑评价技术细则》</w:t>
      </w:r>
    </w:p>
    <w:p w14:paraId="5EB4314F">
      <w:pPr>
        <w:pStyle w:val="3"/>
        <w:ind w:left="200" w:firstLine="0" w:firstLineChars="0"/>
        <w:rPr>
          <w:lang w:val="en-US"/>
        </w:rPr>
      </w:pPr>
      <w:r>
        <w:rPr>
          <w:rFonts w:hint="eastAsia"/>
          <w:lang w:val="en-US"/>
        </w:rPr>
        <w:t>委托方提供的总平面图、建筑专业设计图纸、设计效果图等图纸资料</w:t>
      </w:r>
    </w:p>
    <w:p w14:paraId="73081383">
      <w:pPr>
        <w:pStyle w:val="3"/>
        <w:ind w:left="200" w:firstLine="0" w:firstLineChars="0"/>
        <w:rPr>
          <w:lang w:val="en-US"/>
        </w:rPr>
      </w:pPr>
    </w:p>
    <w:p w14:paraId="4F885150">
      <w:pPr>
        <w:pStyle w:val="2"/>
      </w:pPr>
      <w:bookmarkStart w:id="32" w:name="_Toc58243670"/>
      <w:bookmarkStart w:id="33" w:name="_Toc50050015"/>
      <w:r>
        <w:rPr>
          <w:rFonts w:hint="eastAsia"/>
        </w:rPr>
        <w:t>参考</w:t>
      </w:r>
      <w:r>
        <w:t>标准</w:t>
      </w:r>
      <w:bookmarkEnd w:id="31"/>
      <w:bookmarkEnd w:id="32"/>
      <w:bookmarkEnd w:id="33"/>
    </w:p>
    <w:p w14:paraId="41F99BCE">
      <w:pPr>
        <w:pStyle w:val="15"/>
        <w:tabs>
          <w:tab w:val="left" w:pos="312"/>
        </w:tabs>
        <w:spacing w:line="360" w:lineRule="auto"/>
        <w:ind w:firstLineChars="0"/>
        <w:rPr>
          <w:rFonts w:ascii="Times New Roman" w:hAnsi="Times New Roman" w:eastAsia="宋体" w:cs="Times New Roman"/>
          <w:kern w:val="0"/>
          <w:sz w:val="21"/>
          <w:szCs w:val="21"/>
          <w:lang w:val="en-US"/>
        </w:rPr>
      </w:pPr>
      <w:bookmarkStart w:id="34" w:name="_Toc452108764"/>
      <w:bookmarkStart w:id="35" w:name="_Toc451698935"/>
      <w:bookmarkStart w:id="36" w:name="_Toc451436145"/>
      <w:r>
        <w:rPr>
          <w:rFonts w:hint="eastAsia" w:ascii="Times New Roman" w:hAnsi="Times New Roman" w:eastAsia="宋体" w:cs="Times New Roman"/>
          <w:kern w:val="0"/>
          <w:sz w:val="21"/>
          <w:szCs w:val="21"/>
          <w:lang w:val="en-US"/>
        </w:rPr>
        <w:t>室外风环境评价依据为</w:t>
      </w:r>
      <w:bookmarkStart w:id="37" w:name="参考标准名称2"/>
      <w:r>
        <w:rPr>
          <w:rFonts w:hint="eastAsia" w:ascii="Times New Roman" w:hAnsi="Times New Roman" w:eastAsia="宋体" w:cs="Times New Roman"/>
          <w:kern w:val="0"/>
          <w:sz w:val="21"/>
          <w:szCs w:val="21"/>
          <w:lang w:val="en-US"/>
        </w:rPr>
        <w:t>《绿色建筑评价标准》GB/T 50378-2019（2024年版）</w:t>
      </w:r>
      <w:bookmarkEnd w:id="37"/>
      <w:r>
        <w:rPr>
          <w:rFonts w:hint="eastAsia" w:ascii="Times New Roman" w:hAnsi="Times New Roman" w:eastAsia="宋体" w:cs="Times New Roman"/>
          <w:kern w:val="0"/>
          <w:sz w:val="21"/>
          <w:szCs w:val="21"/>
          <w:lang w:val="en-US"/>
        </w:rPr>
        <w:t>中有关室外风环境的条目要求。具体要求如下：</w:t>
      </w:r>
    </w:p>
    <w:p w14:paraId="747E587D">
      <w:pPr>
        <w:pStyle w:val="15"/>
        <w:tabs>
          <w:tab w:val="left" w:pos="312"/>
        </w:tabs>
        <w:spacing w:line="360" w:lineRule="auto"/>
        <w:ind w:firstLineChars="0"/>
        <w:rPr>
          <w:rFonts w:ascii="Times New Roman" w:hAnsi="Times New Roman" w:eastAsia="宋体" w:cs="Times New Roman"/>
          <w:kern w:val="0"/>
          <w:sz w:val="21"/>
          <w:szCs w:val="21"/>
          <w:lang w:val="en-US"/>
        </w:rPr>
      </w:pPr>
      <w:r>
        <w:rPr>
          <w:rFonts w:ascii="Times New Roman" w:hAnsi="Times New Roman" w:eastAsia="宋体" w:cs="Times New Roman"/>
          <w:kern w:val="0"/>
          <w:sz w:val="21"/>
          <w:szCs w:val="21"/>
          <w:lang w:val="en-US"/>
        </w:rPr>
        <w:t>8</w:t>
      </w:r>
      <w:r>
        <w:rPr>
          <w:rFonts w:hint="eastAsia" w:ascii="Times New Roman" w:hAnsi="Times New Roman" w:eastAsia="宋体" w:cs="Times New Roman"/>
          <w:kern w:val="0"/>
          <w:sz w:val="21"/>
          <w:szCs w:val="21"/>
          <w:lang w:val="en-US"/>
        </w:rPr>
        <w:t>.2.</w:t>
      </w:r>
      <w:r>
        <w:rPr>
          <w:rFonts w:ascii="Times New Roman" w:hAnsi="Times New Roman" w:eastAsia="宋体" w:cs="Times New Roman"/>
          <w:kern w:val="0"/>
          <w:sz w:val="21"/>
          <w:szCs w:val="21"/>
          <w:lang w:val="en-US"/>
        </w:rPr>
        <w:t>8</w:t>
      </w:r>
      <w:r>
        <w:rPr>
          <w:rFonts w:hint="eastAsia" w:ascii="Times New Roman" w:hAnsi="Times New Roman" w:eastAsia="宋体" w:cs="Times New Roman"/>
          <w:kern w:val="0"/>
          <w:sz w:val="21"/>
          <w:szCs w:val="21"/>
          <w:lang w:val="en-US"/>
        </w:rPr>
        <w:t xml:space="preserve"> 场地内风环境有利于室外行走、活动舒适和建筑的自然通风，评价总分值为1</w:t>
      </w:r>
      <w:r>
        <w:rPr>
          <w:rFonts w:ascii="Times New Roman" w:hAnsi="Times New Roman" w:eastAsia="宋体" w:cs="Times New Roman"/>
          <w:kern w:val="0"/>
          <w:sz w:val="21"/>
          <w:szCs w:val="21"/>
          <w:lang w:val="en-US"/>
        </w:rPr>
        <w:t>0</w:t>
      </w:r>
      <w:r>
        <w:rPr>
          <w:rFonts w:hint="eastAsia" w:ascii="Times New Roman" w:hAnsi="Times New Roman" w:eastAsia="宋体" w:cs="Times New Roman"/>
          <w:kern w:val="0"/>
          <w:sz w:val="21"/>
          <w:szCs w:val="21"/>
          <w:lang w:val="en-US"/>
        </w:rPr>
        <w:t>分，并按下列规则分别评分并累计：</w:t>
      </w:r>
    </w:p>
    <w:p w14:paraId="3A9C73F9">
      <w:pPr>
        <w:pStyle w:val="15"/>
        <w:tabs>
          <w:tab w:val="left" w:pos="312"/>
        </w:tabs>
        <w:spacing w:line="360" w:lineRule="auto"/>
        <w:ind w:firstLineChars="0"/>
        <w:rPr>
          <w:rFonts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lang w:val="en-US"/>
        </w:rPr>
        <w:t>1  在冬季典型风速和风向条件下，按下列规则分别评分并累计：</w:t>
      </w:r>
    </w:p>
    <w:p w14:paraId="09DE376D">
      <w:pPr>
        <w:pStyle w:val="15"/>
        <w:tabs>
          <w:tab w:val="left" w:pos="312"/>
        </w:tabs>
        <w:spacing w:line="360" w:lineRule="auto"/>
        <w:ind w:firstLineChars="0"/>
        <w:rPr>
          <w:rFonts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lang w:val="en-US"/>
        </w:rPr>
        <w:t>1）建筑物周围人行区距地</w:t>
      </w:r>
      <w:r>
        <w:rPr>
          <w:rFonts w:ascii="Times New Roman" w:hAnsi="Times New Roman" w:eastAsia="宋体" w:cs="Times New Roman"/>
          <w:kern w:val="0"/>
          <w:sz w:val="21"/>
          <w:szCs w:val="21"/>
          <w:lang w:val="en-US"/>
        </w:rPr>
        <w:t>高</w:t>
      </w:r>
      <w:r>
        <w:rPr>
          <w:rFonts w:hint="eastAsia" w:ascii="Times New Roman" w:hAnsi="Times New Roman" w:eastAsia="宋体" w:cs="Times New Roman"/>
          <w:kern w:val="0"/>
          <w:sz w:val="21"/>
          <w:szCs w:val="21"/>
          <w:lang w:val="en-US"/>
        </w:rPr>
        <w:t>1.5m处风速小于5m/s，户外休息区、儿童娱乐区风速小于2m/s，且室外风速放大系数小于2，得</w:t>
      </w:r>
      <w:bookmarkStart w:id="38" w:name="参考标准冬季风速得分"/>
      <w:r>
        <w:rPr>
          <w:rFonts w:ascii="Times New Roman" w:hAnsi="Times New Roman" w:eastAsia="宋体" w:cs="Times New Roman"/>
          <w:kern w:val="0"/>
          <w:sz w:val="21"/>
          <w:szCs w:val="21"/>
          <w:lang w:val="en-US"/>
        </w:rPr>
        <w:t>3</w:t>
      </w:r>
      <w:bookmarkEnd w:id="38"/>
      <w:r>
        <w:rPr>
          <w:rFonts w:hint="eastAsia" w:ascii="Times New Roman" w:hAnsi="Times New Roman" w:eastAsia="宋体" w:cs="Times New Roman"/>
          <w:kern w:val="0"/>
          <w:sz w:val="21"/>
          <w:szCs w:val="21"/>
          <w:lang w:val="en-US"/>
        </w:rPr>
        <w:t>分；</w:t>
      </w:r>
    </w:p>
    <w:p w14:paraId="7DC1E978">
      <w:pPr>
        <w:pStyle w:val="15"/>
        <w:tabs>
          <w:tab w:val="left" w:pos="312"/>
        </w:tabs>
        <w:spacing w:line="360" w:lineRule="auto"/>
        <w:ind w:firstLineChars="0"/>
        <w:rPr>
          <w:rFonts w:ascii="Times New Roman" w:hAnsi="Times New Roman" w:eastAsia="宋体" w:cs="Times New Roman"/>
          <w:kern w:val="0"/>
          <w:sz w:val="21"/>
          <w:szCs w:val="21"/>
          <w:lang w:val="en-US"/>
        </w:rPr>
      </w:pPr>
      <w:r>
        <w:rPr>
          <w:rFonts w:ascii="Times New Roman" w:hAnsi="Times New Roman" w:eastAsia="宋体" w:cs="Times New Roman"/>
          <w:kern w:val="0"/>
          <w:sz w:val="21"/>
          <w:szCs w:val="21"/>
          <w:lang w:val="en-US"/>
        </w:rPr>
        <w:t>2</w:t>
      </w:r>
      <w:r>
        <w:rPr>
          <w:rFonts w:hint="eastAsia" w:ascii="Times New Roman" w:hAnsi="Times New Roman" w:eastAsia="宋体" w:cs="Times New Roman"/>
          <w:kern w:val="0"/>
          <w:sz w:val="21"/>
          <w:szCs w:val="21"/>
          <w:lang w:val="en-US"/>
        </w:rPr>
        <w:t>）除迎风第一排建筑外，建筑迎风面与背风面表面风压差不大于5Pa，得</w:t>
      </w:r>
      <w:bookmarkStart w:id="39" w:name="参考标准冬季风压得分"/>
      <w:r>
        <w:rPr>
          <w:rFonts w:ascii="Times New Roman" w:hAnsi="Times New Roman" w:eastAsia="宋体" w:cs="Times New Roman"/>
          <w:kern w:val="0"/>
          <w:sz w:val="21"/>
          <w:szCs w:val="21"/>
          <w:lang w:val="en-US"/>
        </w:rPr>
        <w:t>2</w:t>
      </w:r>
      <w:bookmarkEnd w:id="39"/>
      <w:r>
        <w:rPr>
          <w:rFonts w:hint="eastAsia" w:ascii="Times New Roman" w:hAnsi="Times New Roman" w:eastAsia="宋体" w:cs="Times New Roman"/>
          <w:kern w:val="0"/>
          <w:sz w:val="21"/>
          <w:szCs w:val="21"/>
          <w:lang w:val="en-US"/>
        </w:rPr>
        <w:t>分。</w:t>
      </w:r>
    </w:p>
    <w:p w14:paraId="6B8F0D99">
      <w:pPr>
        <w:pStyle w:val="15"/>
        <w:tabs>
          <w:tab w:val="left" w:pos="312"/>
        </w:tabs>
        <w:spacing w:line="360" w:lineRule="auto"/>
        <w:ind w:firstLineChars="0"/>
        <w:rPr>
          <w:rFonts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lang w:val="en-US"/>
        </w:rPr>
        <w:t>2  过渡季、夏季典型风速和风向条件下，按下列规则分别评分并累计：</w:t>
      </w:r>
    </w:p>
    <w:p w14:paraId="01DA60A3">
      <w:pPr>
        <w:pStyle w:val="15"/>
        <w:tabs>
          <w:tab w:val="left" w:pos="312"/>
        </w:tabs>
        <w:spacing w:line="360" w:lineRule="auto"/>
        <w:ind w:firstLineChars="0"/>
        <w:rPr>
          <w:rFonts w:ascii="Times New Roman" w:hAnsi="Times New Roman" w:eastAsia="宋体" w:cs="Times New Roman"/>
          <w:kern w:val="0"/>
          <w:sz w:val="21"/>
          <w:szCs w:val="21"/>
          <w:lang w:val="en-US"/>
        </w:rPr>
      </w:pPr>
      <w:r>
        <w:rPr>
          <w:rFonts w:ascii="Times New Roman" w:hAnsi="Times New Roman" w:eastAsia="宋体" w:cs="Times New Roman"/>
          <w:kern w:val="0"/>
          <w:sz w:val="21"/>
          <w:szCs w:val="21"/>
          <w:lang w:val="en-US"/>
        </w:rPr>
        <w:t>1</w:t>
      </w:r>
      <w:r>
        <w:rPr>
          <w:rFonts w:hint="eastAsia" w:ascii="Times New Roman" w:hAnsi="Times New Roman" w:eastAsia="宋体" w:cs="Times New Roman"/>
          <w:kern w:val="0"/>
          <w:sz w:val="21"/>
          <w:szCs w:val="21"/>
          <w:lang w:val="en-US"/>
        </w:rPr>
        <w:t>）场地内人活动区不出现涡旋或无风区，得</w:t>
      </w:r>
      <w:bookmarkStart w:id="40" w:name="参考标准夏季风速得分"/>
      <w:r>
        <w:rPr>
          <w:rFonts w:ascii="Times New Roman" w:hAnsi="Times New Roman" w:eastAsia="宋体" w:cs="Times New Roman"/>
          <w:kern w:val="0"/>
          <w:sz w:val="21"/>
          <w:szCs w:val="21"/>
          <w:lang w:val="en-US"/>
        </w:rPr>
        <w:t>3</w:t>
      </w:r>
      <w:bookmarkEnd w:id="40"/>
      <w:r>
        <w:rPr>
          <w:rFonts w:hint="eastAsia" w:ascii="Times New Roman" w:hAnsi="Times New Roman" w:eastAsia="宋体" w:cs="Times New Roman"/>
          <w:kern w:val="0"/>
          <w:sz w:val="21"/>
          <w:szCs w:val="21"/>
          <w:lang w:val="en-US"/>
        </w:rPr>
        <w:t>分；</w:t>
      </w:r>
    </w:p>
    <w:p w14:paraId="2FB43710">
      <w:pPr>
        <w:pStyle w:val="15"/>
        <w:tabs>
          <w:tab w:val="left" w:pos="312"/>
        </w:tabs>
        <w:spacing w:line="360" w:lineRule="auto"/>
        <w:ind w:firstLineChars="0"/>
        <w:rPr>
          <w:rFonts w:ascii="Times New Roman" w:hAnsi="Times New Roman" w:eastAsia="宋体" w:cs="Times New Roman"/>
          <w:kern w:val="0"/>
          <w:sz w:val="21"/>
          <w:szCs w:val="21"/>
          <w:lang w:val="en-US"/>
        </w:rPr>
      </w:pPr>
      <w:r>
        <w:rPr>
          <w:rFonts w:ascii="Times New Roman" w:hAnsi="Times New Roman" w:eastAsia="宋体" w:cs="Times New Roman"/>
          <w:kern w:val="0"/>
          <w:sz w:val="21"/>
          <w:szCs w:val="21"/>
          <w:lang w:val="en-US"/>
        </w:rPr>
        <w:t>2</w:t>
      </w:r>
      <w:r>
        <w:rPr>
          <w:rFonts w:hint="eastAsia" w:ascii="Times New Roman" w:hAnsi="Times New Roman" w:eastAsia="宋体" w:cs="Times New Roman"/>
          <w:kern w:val="0"/>
          <w:sz w:val="21"/>
          <w:szCs w:val="21"/>
          <w:lang w:val="en-US"/>
        </w:rPr>
        <w:t>）50%以上可开启外窗室内外表面的风压差大于0.5Pa，得</w:t>
      </w:r>
      <w:bookmarkStart w:id="41" w:name="参考标准夏季风压得分"/>
      <w:r>
        <w:rPr>
          <w:rFonts w:ascii="Times New Roman" w:hAnsi="Times New Roman" w:eastAsia="宋体" w:cs="Times New Roman"/>
          <w:kern w:val="0"/>
          <w:sz w:val="21"/>
          <w:szCs w:val="21"/>
          <w:lang w:val="en-US"/>
        </w:rPr>
        <w:t>2</w:t>
      </w:r>
      <w:bookmarkEnd w:id="41"/>
      <w:r>
        <w:rPr>
          <w:rFonts w:hint="eastAsia" w:ascii="Times New Roman" w:hAnsi="Times New Roman" w:eastAsia="宋体" w:cs="Times New Roman"/>
          <w:kern w:val="0"/>
          <w:sz w:val="21"/>
          <w:szCs w:val="21"/>
          <w:lang w:val="en-US"/>
        </w:rPr>
        <w:t>分。</w:t>
      </w:r>
    </w:p>
    <w:p w14:paraId="2C3BB86F">
      <w:pPr>
        <w:pStyle w:val="15"/>
        <w:tabs>
          <w:tab w:val="left" w:pos="312"/>
        </w:tabs>
        <w:spacing w:line="360" w:lineRule="auto"/>
        <w:ind w:firstLineChars="0"/>
        <w:rPr>
          <w:rFonts w:ascii="Times New Roman" w:hAnsi="Times New Roman" w:eastAsia="宋体" w:cs="Times New Roman"/>
          <w:kern w:val="0"/>
          <w:sz w:val="21"/>
          <w:szCs w:val="21"/>
        </w:rPr>
      </w:pPr>
    </w:p>
    <w:p w14:paraId="4635907D">
      <w:pPr>
        <w:pStyle w:val="2"/>
      </w:pPr>
      <w:bookmarkStart w:id="42" w:name="_Toc50050016"/>
      <w:bookmarkStart w:id="43" w:name="_Toc58243671"/>
      <w:r>
        <w:rPr>
          <w:rFonts w:hint="eastAsia"/>
        </w:rPr>
        <w:t>技术措施</w:t>
      </w:r>
      <w:bookmarkEnd w:id="42"/>
      <w:bookmarkEnd w:id="43"/>
    </w:p>
    <w:p w14:paraId="0AD32DC9">
      <w:pPr>
        <w:pStyle w:val="3"/>
        <w:rPr>
          <w:rFonts w:hint="eastAsia" w:eastAsia="宋体"/>
          <w:lang w:val="en-US" w:eastAsia="zh-CN"/>
        </w:rPr>
      </w:pPr>
      <w:r>
        <w:rPr>
          <w:rFonts w:hint="eastAsia"/>
          <w:lang w:val="en-US" w:eastAsia="zh-CN"/>
        </w:rPr>
        <w:t>无</w:t>
      </w:r>
    </w:p>
    <w:p w14:paraId="601FD13C">
      <w:pPr>
        <w:pStyle w:val="2"/>
      </w:pPr>
      <w:bookmarkStart w:id="44" w:name="_Toc50050017"/>
      <w:bookmarkStart w:id="45" w:name="_Toc58243672"/>
      <w:r>
        <w:rPr>
          <w:rFonts w:hint="eastAsia"/>
        </w:rPr>
        <w:t>计算</w:t>
      </w:r>
      <w:bookmarkEnd w:id="34"/>
      <w:bookmarkEnd w:id="35"/>
      <w:r>
        <w:rPr>
          <w:rFonts w:hint="eastAsia"/>
        </w:rPr>
        <w:t>方法</w:t>
      </w:r>
      <w:bookmarkEnd w:id="44"/>
      <w:bookmarkEnd w:id="45"/>
    </w:p>
    <w:p w14:paraId="538F22D9">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19A7BCF2">
      <w:pPr>
        <w:pStyle w:val="4"/>
      </w:pPr>
      <w:bookmarkStart w:id="46" w:name="_Toc50050018"/>
      <w:bookmarkStart w:id="47" w:name="_Toc58243673"/>
      <w:r>
        <w:t>CFD</w:t>
      </w:r>
      <w:r>
        <w:rPr>
          <w:rFonts w:hint="eastAsia"/>
        </w:rPr>
        <w:t>计算原理</w:t>
      </w:r>
      <w:bookmarkEnd w:id="46"/>
      <w:bookmarkEnd w:id="47"/>
    </w:p>
    <w:p w14:paraId="49429760">
      <w:pPr>
        <w:pStyle w:val="5"/>
      </w:pPr>
      <w:bookmarkStart w:id="48" w:name="_Toc50050019"/>
      <w:bookmarkStart w:id="49" w:name="_Toc58243674"/>
      <w:bookmarkStart w:id="50" w:name="_Toc452108765"/>
      <w:bookmarkStart w:id="51" w:name="_Toc451698937"/>
      <w:r>
        <w:rPr>
          <w:rFonts w:hint="eastAsia"/>
        </w:rPr>
        <w:t>湍流模型</w:t>
      </w:r>
      <w:bookmarkEnd w:id="48"/>
      <w:bookmarkEnd w:id="49"/>
    </w:p>
    <w:p w14:paraId="7EB9690C">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9C555D3">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EB5A92B">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32C44E6">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47DCE23">
            <w:pPr>
              <w:jc w:val="center"/>
              <w:rPr>
                <w:rFonts w:ascii="宋体" w:hAnsi="宋体" w:cs="宋体"/>
                <w:b/>
                <w:bCs/>
                <w:szCs w:val="21"/>
              </w:rPr>
            </w:pPr>
            <w:r>
              <w:rPr>
                <w:rFonts w:hint="eastAsia" w:ascii="宋体" w:hAnsi="宋体" w:cs="宋体"/>
                <w:b/>
                <w:bCs/>
                <w:szCs w:val="21"/>
              </w:rPr>
              <w:t>特点和适用工况</w:t>
            </w:r>
          </w:p>
        </w:tc>
      </w:tr>
      <w:tr w14:paraId="6FB23D3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915E3AF">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0F03A9D">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E10B188">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3F9048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117CE28">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E2CEE6B">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876AC82">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D0DCB90">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2E7902D">
      <w:pPr>
        <w:pStyle w:val="5"/>
        <w:tabs>
          <w:tab w:val="left" w:pos="360"/>
        </w:tabs>
        <w:ind w:left="0" w:firstLine="0"/>
      </w:pPr>
      <w:bookmarkStart w:id="52" w:name="_Toc452108766"/>
      <w:bookmarkStart w:id="53" w:name="_Toc58243675"/>
      <w:bookmarkStart w:id="54" w:name="_Toc451698938"/>
      <w:bookmarkStart w:id="55" w:name="_Toc50050020"/>
      <w:bookmarkStart w:id="56" w:name="_Toc8151"/>
      <w:r>
        <w:rPr>
          <w:rFonts w:hint="eastAsia"/>
        </w:rPr>
        <w:t>边界条件</w:t>
      </w:r>
      <w:bookmarkEnd w:id="52"/>
      <w:bookmarkEnd w:id="53"/>
      <w:bookmarkEnd w:id="54"/>
      <w:bookmarkEnd w:id="55"/>
      <w:bookmarkEnd w:id="56"/>
    </w:p>
    <w:p w14:paraId="1031F423">
      <w:pPr>
        <w:spacing w:line="400" w:lineRule="atLeast"/>
        <w:ind w:firstLine="435"/>
        <w:rPr>
          <w:szCs w:val="21"/>
        </w:rPr>
      </w:pPr>
      <w:r>
        <w:rPr>
          <w:rFonts w:hint="eastAsia"/>
          <w:b/>
          <w:szCs w:val="21"/>
        </w:rPr>
        <w:t>送风口</w:t>
      </w:r>
      <w:r>
        <w:rPr>
          <w:rFonts w:hint="eastAsia"/>
          <w:szCs w:val="21"/>
        </w:rPr>
        <w:t>：采用压强边界条件；</w:t>
      </w:r>
    </w:p>
    <w:p w14:paraId="7C9A03A0">
      <w:pPr>
        <w:spacing w:line="400" w:lineRule="atLeast"/>
        <w:ind w:firstLine="435"/>
        <w:rPr>
          <w:szCs w:val="21"/>
        </w:rPr>
      </w:pPr>
      <w:r>
        <w:rPr>
          <w:rFonts w:hint="eastAsia"/>
          <w:b/>
          <w:szCs w:val="21"/>
        </w:rPr>
        <w:t>排风口</w:t>
      </w:r>
      <w:r>
        <w:rPr>
          <w:rFonts w:hint="eastAsia"/>
          <w:szCs w:val="21"/>
        </w:rPr>
        <w:t>：采用压强边界条件；</w:t>
      </w:r>
    </w:p>
    <w:p w14:paraId="76AFF7D1">
      <w:pPr>
        <w:pStyle w:val="5"/>
        <w:tabs>
          <w:tab w:val="left" w:pos="360"/>
        </w:tabs>
        <w:ind w:left="0" w:firstLine="0"/>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14:paraId="2FDEF0FC">
      <w:pPr>
        <w:pStyle w:val="3"/>
        <w:numPr>
          <w:ilvl w:val="0"/>
          <w:numId w:val="2"/>
        </w:numPr>
        <w:ind w:left="0" w:firstLine="0" w:firstLineChars="0"/>
        <w:rPr>
          <w:b/>
          <w:lang w:val="en-US"/>
        </w:rPr>
      </w:pPr>
      <w:r>
        <w:rPr>
          <w:rFonts w:hint="eastAsia"/>
          <w:b/>
          <w:lang w:val="en-US"/>
        </w:rPr>
        <w:t>数学模型</w:t>
      </w:r>
    </w:p>
    <w:p w14:paraId="39B59D09">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781479B">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AF6C5D9">
      <w:pPr>
        <w:pStyle w:val="3"/>
        <w:ind w:firstLine="525" w:firstLineChars="250"/>
        <w:rPr>
          <w:lang w:val="en-US"/>
        </w:rPr>
      </w:pPr>
      <w:r>
        <w:rPr>
          <w:rFonts w:hint="eastAsia"/>
          <w:lang w:val="en-US"/>
        </w:rPr>
        <w:t>该式中的φ可以是速度、湍流动能、湍流耗散率以及温度等物理量，参照下表</w:t>
      </w:r>
    </w:p>
    <w:p w14:paraId="57A53A16">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80633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3050DD5">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60EA04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0DA90F2">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2667FE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B23D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22CDEB">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63BC1F1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EF4B43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EE660E3">
            <w:pPr>
              <w:widowControl w:val="0"/>
              <w:jc w:val="both"/>
              <w:rPr>
                <w:rFonts w:cs="Calibri"/>
                <w:kern w:val="2"/>
                <w:szCs w:val="24"/>
              </w:rPr>
            </w:pPr>
            <w:r>
              <w:rPr>
                <w:szCs w:val="24"/>
              </w:rPr>
              <w:t>0</w:t>
            </w:r>
          </w:p>
        </w:tc>
      </w:tr>
      <w:tr w14:paraId="44C84D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21FB8D">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7B52F2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C0B0BF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1C16A2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A48A7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965CDC5">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8A67F6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EFC9F4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CBB2B9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4319F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DACCE4">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2512FE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074DFF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AE56DEA">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2E195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CB8F02A">
            <w:pPr>
              <w:rPr>
                <w:rFonts w:cs="Calibri"/>
                <w:kern w:val="2"/>
                <w:szCs w:val="24"/>
              </w:rPr>
            </w:pPr>
            <w:r>
              <w:rPr>
                <w:rFonts w:hint="eastAsia"/>
                <w:szCs w:val="24"/>
              </w:rPr>
              <w:t>湍流</w:t>
            </w:r>
          </w:p>
          <w:p w14:paraId="59AE994C">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FF3D08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079B3C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4ED671D">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1AE762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EBEB99">
            <w:pPr>
              <w:rPr>
                <w:rFonts w:cs="Calibri"/>
                <w:kern w:val="2"/>
                <w:szCs w:val="24"/>
              </w:rPr>
            </w:pPr>
            <w:r>
              <w:rPr>
                <w:rFonts w:hint="eastAsia"/>
                <w:szCs w:val="24"/>
              </w:rPr>
              <w:t>湍流</w:t>
            </w:r>
          </w:p>
          <w:p w14:paraId="04DC7E81">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78BC06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C75256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BB6417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9CEE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500F1A9">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6F91798">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B526EE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0BBF2D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4E1222A">
      <w:pPr>
        <w:pStyle w:val="3"/>
        <w:ind w:firstLine="525" w:firstLineChars="250"/>
        <w:rPr>
          <w:lang w:val="en-US"/>
        </w:rPr>
      </w:pPr>
      <w:r>
        <w:rPr>
          <w:rFonts w:hint="eastAsia"/>
          <w:lang w:val="en-US"/>
        </w:rPr>
        <w:t>上表中的常数如下：</w:t>
      </w:r>
    </w:p>
    <w:p w14:paraId="17BA4F13">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2AD2A4F">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643920A">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280D89F">
      <w:pPr>
        <w:pStyle w:val="3"/>
        <w:numPr>
          <w:ilvl w:val="0"/>
          <w:numId w:val="2"/>
        </w:numPr>
        <w:ind w:firstLineChars="0"/>
        <w:rPr>
          <w:b/>
          <w:lang w:val="en-US"/>
        </w:rPr>
      </w:pPr>
      <w:r>
        <w:rPr>
          <w:rFonts w:hint="eastAsia"/>
          <w:b/>
          <w:lang w:val="en-US"/>
        </w:rPr>
        <w:t>差分格式</w:t>
      </w:r>
    </w:p>
    <w:p w14:paraId="6A8904BE">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ED2CE09">
      <w:pPr>
        <w:pStyle w:val="2"/>
      </w:pPr>
      <w:bookmarkStart w:id="64" w:name="_Toc3745"/>
      <w:bookmarkStart w:id="65" w:name="_Toc50050022"/>
      <w:bookmarkStart w:id="66" w:name="_Toc58243677"/>
      <w:bookmarkStart w:id="67" w:name="_Toc452108768"/>
      <w:r>
        <w:rPr>
          <w:rFonts w:hint="eastAsia"/>
        </w:rPr>
        <w:t>结果</w:t>
      </w:r>
      <w:r>
        <w:t>分析</w:t>
      </w:r>
      <w:bookmarkEnd w:id="64"/>
      <w:bookmarkEnd w:id="65"/>
      <w:bookmarkEnd w:id="66"/>
      <w:bookmarkEnd w:id="67"/>
    </w:p>
    <w:p w14:paraId="551CB478">
      <w:pPr>
        <w:pStyle w:val="4"/>
      </w:pPr>
      <w:bookmarkStart w:id="68" w:name="_Toc58243678"/>
      <w:bookmarkStart w:id="69" w:name="_Toc50050023"/>
      <w:r>
        <w:rPr>
          <w:rFonts w:hint="eastAsia"/>
        </w:rPr>
        <w:t>室内速度场分布</w:t>
      </w:r>
      <w:bookmarkEnd w:id="68"/>
      <w:bookmarkEnd w:id="69"/>
    </w:p>
    <w:p w14:paraId="28D9A60A">
      <w:pPr>
        <w:pStyle w:val="3"/>
        <w:ind w:firstLine="0" w:firstLineChars="0"/>
        <w:jc w:val="center"/>
        <w:rPr>
          <w:lang w:val="en-US"/>
        </w:rPr>
      </w:pPr>
      <w:bookmarkStart w:id="70" w:name="速度云图"/>
      <w:r>
        <w:drawing>
          <wp:inline distT="0" distB="0" distL="0" distR="0">
            <wp:extent cx="5667375" cy="3752850"/>
            <wp:effectExtent l="0" t="0" r="1905"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14:paraId="195B5E51">
      <w:pPr>
        <w:pStyle w:val="3"/>
        <w:ind w:firstLine="0" w:firstLineChars="0"/>
        <w:jc w:val="center"/>
        <w:rPr>
          <w:rFonts w:ascii="黑体" w:hAnsi="黑体" w:eastAsia="黑体"/>
          <w:lang w:val="en-US"/>
        </w:rPr>
      </w:pPr>
      <w:r>
        <w:rPr>
          <w:rFonts w:ascii="黑体" w:hAnsi="黑体" w:eastAsia="黑体"/>
          <w:lang w:val="en-US"/>
        </w:rPr>
        <w:t>图6-1 室内速度分布</w:t>
      </w:r>
    </w:p>
    <w:p w14:paraId="46F72AE7">
      <w:pPr>
        <w:pStyle w:val="3"/>
        <w:ind w:firstLine="0" w:firstLineChars="0"/>
        <w:jc w:val="center"/>
        <w:rPr>
          <w:rFonts w:ascii="黑体" w:hAnsi="黑体" w:eastAsia="黑体"/>
          <w:lang w:val="en-US"/>
        </w:rPr>
      </w:pPr>
    </w:p>
    <w:bookmarkEnd w:id="70"/>
    <w:p w14:paraId="3CBF40D1">
      <w:pPr>
        <w:pStyle w:val="4"/>
      </w:pPr>
      <w:bookmarkStart w:id="71" w:name="_Toc58243679"/>
      <w:bookmarkStart w:id="72" w:name="_Toc50050024"/>
      <w:r>
        <w:rPr>
          <w:rFonts w:hint="eastAsia"/>
        </w:rPr>
        <w:t>室内风速矢量图</w:t>
      </w:r>
      <w:bookmarkEnd w:id="71"/>
      <w:bookmarkEnd w:id="72"/>
    </w:p>
    <w:p w14:paraId="5798695A">
      <w:pPr>
        <w:pStyle w:val="3"/>
        <w:ind w:firstLine="0" w:firstLineChars="0"/>
        <w:jc w:val="center"/>
        <w:rPr>
          <w:lang w:val="en-US"/>
        </w:rPr>
      </w:pPr>
      <w:bookmarkStart w:id="73" w:name="速度矢量图"/>
      <w:r>
        <w:drawing>
          <wp:inline distT="0" distB="0" distL="0" distR="0">
            <wp:extent cx="5667375" cy="3752850"/>
            <wp:effectExtent l="0" t="0" r="1905" b="1143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14:paraId="745CE2AD">
      <w:pPr>
        <w:pStyle w:val="3"/>
        <w:ind w:firstLine="0" w:firstLineChars="0"/>
        <w:jc w:val="center"/>
        <w:rPr>
          <w:lang w:val="en-US"/>
        </w:rPr>
      </w:pPr>
      <w:r>
        <w:rPr>
          <w:lang w:val="en-US"/>
        </w:rPr>
        <w:t>图6-2 室内风速矢量图</w:t>
      </w:r>
    </w:p>
    <w:p w14:paraId="1F8858A6">
      <w:pPr>
        <w:pStyle w:val="3"/>
        <w:ind w:firstLine="0" w:firstLineChars="0"/>
        <w:jc w:val="center"/>
        <w:rPr>
          <w:lang w:val="en-US"/>
        </w:rPr>
      </w:pPr>
    </w:p>
    <w:bookmarkEnd w:id="73"/>
    <w:p w14:paraId="6BE6489E">
      <w:pPr>
        <w:pStyle w:val="4"/>
      </w:pPr>
      <w:bookmarkStart w:id="74" w:name="_Toc50050025"/>
      <w:bookmarkStart w:id="75" w:name="_Toc58243680"/>
      <w:r>
        <w:rPr>
          <w:rFonts w:hint="eastAsia"/>
        </w:rPr>
        <w:t>流线图</w:t>
      </w:r>
    </w:p>
    <w:p w14:paraId="069AFE62">
      <w:pPr>
        <w:pStyle w:val="3"/>
        <w:ind w:firstLine="420"/>
        <w:jc w:val="center"/>
      </w:pPr>
      <w:bookmarkStart w:id="76" w:name="流线图"/>
      <w:bookmarkEnd w:id="76"/>
      <w:r>
        <w:drawing>
          <wp:inline distT="0" distB="0" distL="0" distR="0">
            <wp:extent cx="5667375" cy="3752850"/>
            <wp:effectExtent l="0" t="0" r="1905" b="1143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1D56F6C1">
      <w:pPr>
        <w:pStyle w:val="3"/>
        <w:ind w:firstLine="420"/>
        <w:jc w:val="center"/>
        <w:rPr>
          <w:lang w:val="en-US"/>
        </w:rPr>
      </w:pPr>
      <w:r>
        <w:rPr>
          <w:lang w:val="en-US"/>
        </w:rPr>
        <w:t>图6-3 室内流线图</w:t>
      </w:r>
    </w:p>
    <w:p w14:paraId="326CA27B">
      <w:pPr>
        <w:pStyle w:val="3"/>
        <w:ind w:firstLine="420"/>
        <w:jc w:val="center"/>
        <w:rPr>
          <w:lang w:val="en-US"/>
        </w:rPr>
      </w:pPr>
    </w:p>
    <w:p w14:paraId="4222F7FB">
      <w:pPr>
        <w:pStyle w:val="2"/>
        <w:rPr>
          <w:sz w:val="36"/>
          <w:szCs w:val="36"/>
        </w:rPr>
      </w:pPr>
      <w:r>
        <w:rPr>
          <w:rFonts w:hint="eastAsia"/>
          <w:sz w:val="36"/>
          <w:szCs w:val="36"/>
        </w:rPr>
        <w:t>结论</w:t>
      </w:r>
      <w:bookmarkEnd w:id="74"/>
      <w:bookmarkEnd w:id="75"/>
    </w:p>
    <w:bookmarkEnd w:id="36"/>
    <w:bookmarkEnd w:id="50"/>
    <w:bookmarkEnd w:id="51"/>
    <w:p w14:paraId="75B26071">
      <w:pPr>
        <w:pStyle w:val="3"/>
        <w:tabs>
          <w:tab w:val="left" w:pos="7938"/>
        </w:tabs>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p w14:paraId="12B98AC4">
      <w:pPr>
        <w:pStyle w:val="3"/>
        <w:tabs>
          <w:tab w:val="left" w:pos="7938"/>
        </w:tabs>
        <w:ind w:firstLine="480"/>
        <w:rPr>
          <w:sz w:val="24"/>
          <w:szCs w:val="24"/>
          <w:lang w:val="en-US"/>
        </w:rPr>
      </w:pPr>
      <w:bookmarkStart w:id="77" w:name="_GoBack"/>
      <w:bookmarkEnd w:id="77"/>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5CDC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22D5008">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3B8C617D">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10</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79378AA">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20</w:t>
          </w:r>
        </w:p>
      </w:tc>
    </w:tr>
  </w:tbl>
  <w:p w14:paraId="5F14D2E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5275">
    <w:pPr>
      <w:pStyle w:val="18"/>
      <w:jc w:val="center"/>
      <w:rPr>
        <w:rFonts w:asciiTheme="minorEastAsia" w:hAnsiTheme="minorEastAsia" w:eastAsiaTheme="minorEastAsia"/>
        <w:szCs w:val="21"/>
      </w:rPr>
    </w:pPr>
  </w:p>
  <w:p w14:paraId="5500741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175D">
    <w:pPr>
      <w:pStyle w:val="19"/>
      <w:pBdr>
        <w:bottom w:val="single" w:color="auto" w:sz="6" w:space="0"/>
      </w:pBdr>
      <w:jc w:val="left"/>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19"/>
    <w:rsid w:val="00000112"/>
    <w:rsid w:val="00005045"/>
    <w:rsid w:val="0000578F"/>
    <w:rsid w:val="0002001E"/>
    <w:rsid w:val="000219DF"/>
    <w:rsid w:val="00026604"/>
    <w:rsid w:val="00031119"/>
    <w:rsid w:val="00037A4C"/>
    <w:rsid w:val="00056BE6"/>
    <w:rsid w:val="000678A8"/>
    <w:rsid w:val="00067D42"/>
    <w:rsid w:val="00067FD6"/>
    <w:rsid w:val="00070047"/>
    <w:rsid w:val="00073958"/>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4E34"/>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0B3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6AF3"/>
    <w:rsid w:val="00BE75B4"/>
    <w:rsid w:val="00BE7E24"/>
    <w:rsid w:val="00BF173E"/>
    <w:rsid w:val="00BF7629"/>
    <w:rsid w:val="00C02F71"/>
    <w:rsid w:val="00C03066"/>
    <w:rsid w:val="00C105B0"/>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475A6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Char"/>
    <w:link w:val="2"/>
    <w:uiPriority w:val="0"/>
    <w:rPr>
      <w:b/>
      <w:bCs/>
      <w:kern w:val="32"/>
      <w:sz w:val="28"/>
      <w:szCs w:val="28"/>
    </w:rPr>
  </w:style>
  <w:style w:type="character" w:customStyle="1" w:styleId="29">
    <w:name w:val="标题 2 Char"/>
    <w:link w:val="4"/>
    <w:qFormat/>
    <w:uiPriority w:val="0"/>
    <w:rPr>
      <w:rFonts w:ascii="宋体" w:cs="Arial"/>
      <w:b/>
      <w:bCs/>
      <w:iCs/>
      <w:color w:val="000000"/>
      <w:sz w:val="24"/>
      <w:szCs w:val="24"/>
    </w:rPr>
  </w:style>
  <w:style w:type="character" w:customStyle="1" w:styleId="30">
    <w:name w:val="页脚 Char"/>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uiPriority w:val="0"/>
    <w:rPr>
      <w:rFonts w:ascii="宋体" w:hAnsi="宋体" w:cs="Arial"/>
      <w:b/>
      <w:bCs/>
      <w:sz w:val="21"/>
      <w:szCs w:val="21"/>
    </w:rPr>
  </w:style>
  <w:style w:type="character" w:customStyle="1" w:styleId="35">
    <w:name w:val="批注框文本 Char"/>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Char"/>
    <w:link w:val="6"/>
    <w:qFormat/>
    <w:uiPriority w:val="0"/>
    <w:rPr>
      <w:b/>
      <w:bCs/>
      <w:sz w:val="21"/>
      <w:szCs w:val="28"/>
      <w:lang w:val="en-GB"/>
    </w:rPr>
  </w:style>
  <w:style w:type="character" w:customStyle="1" w:styleId="39">
    <w:name w:val="标题 5 Char"/>
    <w:link w:val="7"/>
    <w:uiPriority w:val="0"/>
    <w:rPr>
      <w:b/>
      <w:bCs/>
      <w:iCs/>
      <w:sz w:val="21"/>
      <w:szCs w:val="26"/>
      <w:lang w:val="en-GB"/>
    </w:rPr>
  </w:style>
  <w:style w:type="character" w:customStyle="1" w:styleId="40">
    <w:name w:val="标题 6 Char"/>
    <w:link w:val="8"/>
    <w:uiPriority w:val="0"/>
    <w:rPr>
      <w:b/>
      <w:bCs/>
      <w:sz w:val="21"/>
      <w:szCs w:val="22"/>
      <w:lang w:val="en-GB"/>
    </w:rPr>
  </w:style>
  <w:style w:type="character" w:customStyle="1" w:styleId="41">
    <w:name w:val="标题 7 Char"/>
    <w:link w:val="9"/>
    <w:qFormat/>
    <w:uiPriority w:val="0"/>
    <w:rPr>
      <w:sz w:val="24"/>
      <w:szCs w:val="24"/>
      <w:lang w:val="en-GB"/>
    </w:rPr>
  </w:style>
  <w:style w:type="character" w:customStyle="1" w:styleId="42">
    <w:name w:val="标题 8 Char"/>
    <w:link w:val="10"/>
    <w:qFormat/>
    <w:uiPriority w:val="0"/>
    <w:rPr>
      <w:i/>
      <w:iCs/>
      <w:sz w:val="24"/>
      <w:szCs w:val="24"/>
      <w:lang w:val="en-GB"/>
    </w:rPr>
  </w:style>
  <w:style w:type="character" w:customStyle="1" w:styleId="43">
    <w:name w:val="标题 9 Char"/>
    <w:link w:val="11"/>
    <w:qFormat/>
    <w:uiPriority w:val="0"/>
    <w:rPr>
      <w:rFonts w:ascii="Arial" w:hAnsi="Arial" w:cs="Arial"/>
      <w:sz w:val="22"/>
      <w:szCs w:val="22"/>
      <w:lang w:val="en-GB"/>
    </w:rPr>
  </w:style>
  <w:style w:type="character" w:customStyle="1" w:styleId="44">
    <w:name w:val="页眉 Char"/>
    <w:link w:val="19"/>
    <w:qFormat/>
    <w:uiPriority w:val="0"/>
    <w:rPr>
      <w:sz w:val="21"/>
      <w:szCs w:val="18"/>
      <w:lang w:val="en-GB"/>
    </w:rPr>
  </w:style>
  <w:style w:type="character" w:customStyle="1" w:styleId="45">
    <w:name w:val="文档结构图 Char"/>
    <w:link w:val="14"/>
    <w:semiHidden/>
    <w:qFormat/>
    <w:uiPriority w:val="0"/>
    <w:rPr>
      <w:sz w:val="21"/>
      <w:shd w:val="clear" w:color="auto" w:fill="000080"/>
      <w:lang w:val="en-GB"/>
    </w:rPr>
  </w:style>
  <w:style w:type="character" w:customStyle="1" w:styleId="46">
    <w:name w:val="正文文本缩进 Char"/>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865A-624A-441D-A430-8153CF55B63A}">
  <ds:schemaRefs/>
</ds:datastoreItem>
</file>

<file path=docProps/app.xml><?xml version="1.0" encoding="utf-8"?>
<Properties xmlns="http://schemas.openxmlformats.org/officeDocument/2006/extended-properties" xmlns:vt="http://schemas.openxmlformats.org/officeDocument/2006/docPropsVTypes">
  <Template>tmp258.dotx</Template>
  <Company>ths</Company>
  <Pages>9</Pages>
  <Words>1116</Words>
  <Characters>1256</Characters>
  <Lines>20</Lines>
  <Paragraphs>5</Paragraphs>
  <TotalTime>0</TotalTime>
  <ScaleCrop>false</ScaleCrop>
  <LinksUpToDate>false</LinksUpToDate>
  <CharactersWithSpaces>1335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2021-05-11T06:55:00Z</dcterms:created>
  <dc:creator>user</dc:creator>
  <cp:lastModifiedBy>lucky    girl</cp:lastModifiedBy>
  <cp:lastPrinted>1900-12-31T16:00:00Z</cp:lastPrinted>
  <dcterms:modified xsi:type="dcterms:W3CDTF">2026-03-21T09:43:32Z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eyJoZGlkIjoiMTExZTUwNmE5YzQwMmI2MmQ0OTg0YmI4MzBmMjE1YjgiLCJ1c2VySWQiOiIxMTM2MzAyNTc0In0=</vt:lpwstr>
  </property>
  <property fmtid="{D5CDD505-2E9C-101B-9397-08002B2CF9AE}" pid="3" name="KSOProductBuildVer">
    <vt:lpwstr>2052-12.1.0.25225</vt:lpwstr>
  </property>
  <property fmtid="{D5CDD505-2E9C-101B-9397-08002B2CF9AE}" pid="4" name="ICV">
    <vt:lpwstr>27553A0CAA044C7EAAA609979697ED71_13</vt:lpwstr>
  </property>
</Properties>
</file>