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檐下三生——循环共生的未来乡村客厅设计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达到低限标准限值和高要求标准限值的平均值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卧室分户墙和卧室分户楼板两侧房间之间的空气声隔声性能（计权标准化声压级差与交通噪声频谱修正量之和DnT,w+Ctr）≥47dB，卧室分户楼板的撞击声隔声性能（计权标准化撞击声压级L'nT,w）≤60dB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21%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65.0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74.0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81.0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总得分：Q=（Q0+Q1+Q2+Q3+Q4+Q5+QA）/10=93.0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34114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34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8444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74.0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