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E3C46F">
      <w:pPr>
        <w:pStyle w:val="3"/>
        <w:rPr>
          <w:rFonts w:eastAsiaTheme="minorEastAsia"/>
          <w:sz w:val="24"/>
          <w:szCs w:val="40"/>
        </w:rPr>
      </w:pPr>
      <w:r>
        <w:rPr>
          <w:rFonts w:eastAsiaTheme="minorEastAsia"/>
          <w:sz w:val="24"/>
          <w:szCs w:val="40"/>
        </w:rPr>
        <w:t>4.2.2</w:t>
      </w:r>
      <w:r>
        <w:rPr>
          <w:rFonts w:hint="eastAsia" w:eastAsiaTheme="minorEastAsia"/>
          <w:sz w:val="24"/>
          <w:szCs w:val="40"/>
        </w:rPr>
        <w:t xml:space="preserve"> </w:t>
      </w:r>
      <w:r>
        <w:rPr>
          <w:rFonts w:eastAsiaTheme="minorEastAsia"/>
          <w:sz w:val="24"/>
          <w:szCs w:val="40"/>
        </w:rPr>
        <w:t>采取保障人员安全的防护措施。（15分）</w:t>
      </w:r>
    </w:p>
    <w:p w14:paraId="42AF6670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得分自评</w:t>
      </w:r>
    </w:p>
    <w:tbl>
      <w:tblPr>
        <w:tblStyle w:val="6"/>
        <w:tblW w:w="46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8"/>
        <w:gridCol w:w="4801"/>
        <w:gridCol w:w="1140"/>
        <w:gridCol w:w="1335"/>
      </w:tblGrid>
      <w:tr w14:paraId="31F23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" w:type="pct"/>
          </w:tcPr>
          <w:p w14:paraId="27A83F6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序号</w:t>
            </w:r>
          </w:p>
        </w:tc>
        <w:tc>
          <w:tcPr>
            <w:tcW w:w="2999" w:type="pct"/>
          </w:tcPr>
          <w:p w14:paraId="109F33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评价内容</w:t>
            </w:r>
          </w:p>
        </w:tc>
        <w:tc>
          <w:tcPr>
            <w:tcW w:w="712" w:type="pct"/>
          </w:tcPr>
          <w:p w14:paraId="73C44F2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评价分值</w:t>
            </w:r>
          </w:p>
        </w:tc>
        <w:tc>
          <w:tcPr>
            <w:tcW w:w="834" w:type="pct"/>
          </w:tcPr>
          <w:p w14:paraId="6DAEFFC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自评得分</w:t>
            </w:r>
          </w:p>
        </w:tc>
      </w:tr>
      <w:tr w14:paraId="33794E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" w:type="pct"/>
            <w:vAlign w:val="center"/>
          </w:tcPr>
          <w:p w14:paraId="3D7941A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999" w:type="pct"/>
            <w:vAlign w:val="center"/>
          </w:tcPr>
          <w:p w14:paraId="3EA8DD69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提高阳台、外窗、窗台、防护栏杆等安全防护水平</w:t>
            </w:r>
          </w:p>
        </w:tc>
        <w:tc>
          <w:tcPr>
            <w:tcW w:w="712" w:type="pct"/>
            <w:vAlign w:val="center"/>
          </w:tcPr>
          <w:p w14:paraId="2F8B009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334509198"/>
            <w:placeholder>
              <w:docPart w:val="7B8EE7E6B67E40D4B0169319034AE8EE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834" w:type="pct"/>
                <w:vAlign w:val="center"/>
              </w:tcPr>
              <w:p w14:paraId="0E11071B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5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21A98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" w:type="pct"/>
            <w:vAlign w:val="center"/>
          </w:tcPr>
          <w:p w14:paraId="64744A3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2999" w:type="pct"/>
            <w:vAlign w:val="center"/>
          </w:tcPr>
          <w:p w14:paraId="71FF58B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建筑物出入口均设外墙饰面、门窗玻璃意外脱落的防护措施，并与人员通行区域的遮阳、遮风或挡雨措施结合</w:t>
            </w:r>
          </w:p>
        </w:tc>
        <w:tc>
          <w:tcPr>
            <w:tcW w:w="712" w:type="pct"/>
            <w:vAlign w:val="center"/>
          </w:tcPr>
          <w:p w14:paraId="7EFB6D0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773924665"/>
            <w:placeholder>
              <w:docPart w:val="BE7EE90B51954016B00F35D9702875D8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834" w:type="pct"/>
                <w:vAlign w:val="center"/>
              </w:tcPr>
              <w:p w14:paraId="378E07ED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5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</w:p>
            </w:tc>
          </w:sdtContent>
        </w:sdt>
      </w:tr>
      <w:tr w14:paraId="5951A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" w:type="pct"/>
            <w:vAlign w:val="center"/>
          </w:tcPr>
          <w:p w14:paraId="0CFB8B4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2999" w:type="pct"/>
            <w:vAlign w:val="center"/>
          </w:tcPr>
          <w:p w14:paraId="44FC80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利用场地或景观形成可降低坠物风险的缓冲区、隔离带</w:t>
            </w:r>
          </w:p>
        </w:tc>
        <w:tc>
          <w:tcPr>
            <w:tcW w:w="712" w:type="pct"/>
            <w:vAlign w:val="center"/>
          </w:tcPr>
          <w:p w14:paraId="593F691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533331588"/>
            <w:placeholder>
              <w:docPart w:val="5A4607D4EE8D4282ABBA4D3FAA869FF2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834" w:type="pct"/>
                <w:vAlign w:val="center"/>
              </w:tcPr>
              <w:p w14:paraId="54E2294B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5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599D2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454" w:type="pct"/>
            <w:gridSpan w:val="2"/>
            <w:vAlign w:val="center"/>
          </w:tcPr>
          <w:p w14:paraId="22D5CC4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合计</w:t>
            </w:r>
          </w:p>
        </w:tc>
        <w:tc>
          <w:tcPr>
            <w:tcW w:w="712" w:type="pct"/>
            <w:vAlign w:val="center"/>
          </w:tcPr>
          <w:p w14:paraId="2A12371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635371405"/>
            <w:placeholder>
              <w:docPart w:val="0970E5F3B7B84D4EB9DC1835C1A4DBC4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834" w:type="pct"/>
                <w:vAlign w:val="center"/>
              </w:tcPr>
              <w:p w14:paraId="5D582705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15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</w:tbl>
    <w:p w14:paraId="5D185CAF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tbl>
      <w:tblPr>
        <w:tblStyle w:val="6"/>
        <w:tblW w:w="46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0"/>
        <w:gridCol w:w="4124"/>
      </w:tblGrid>
      <w:tr w14:paraId="285EF3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24" w:type="pct"/>
          </w:tcPr>
          <w:p w14:paraId="5B877F09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类型</w:t>
            </w:r>
          </w:p>
        </w:tc>
        <w:tc>
          <w:tcPr>
            <w:tcW w:w="2576" w:type="pct"/>
          </w:tcPr>
          <w:p w14:paraId="1D930623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项目情况</w:t>
            </w:r>
          </w:p>
        </w:tc>
      </w:tr>
      <w:tr w14:paraId="16B69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pct"/>
          </w:tcPr>
          <w:p w14:paraId="198C36DC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建筑</w:t>
            </w:r>
            <w:r>
              <w:rPr>
                <w:rFonts w:ascii="Times New Roman" w:hAnsi="Times New Roman" w:eastAsia="宋体" w:cs="Times New Roman"/>
                <w:szCs w:val="21"/>
              </w:rPr>
              <w:t>出入口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的防护措施</w:t>
            </w:r>
          </w:p>
        </w:tc>
        <w:tc>
          <w:tcPr>
            <w:tcW w:w="2576" w:type="pct"/>
          </w:tcPr>
          <w:p w14:paraId="0F63F8B1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建筑阳台、外窗及防护栏杆均按照高于规范的安全标准进行设计，合理提高栏杆高度及强度，栏杆形式采用防攀爬设计，避免儿童攀爬风险。窗台高度满足安全要求，开启扇设置安全限位装置，防止人员意外坠落</w:t>
            </w:r>
          </w:p>
        </w:tc>
      </w:tr>
      <w:tr w14:paraId="4A6AB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pct"/>
          </w:tcPr>
          <w:p w14:paraId="0D301221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防护措施</w:t>
            </w:r>
            <w:r>
              <w:rPr>
                <w:rFonts w:ascii="Times New Roman" w:hAnsi="Times New Roman" w:eastAsia="宋体" w:cs="Times New Roman"/>
                <w:szCs w:val="21"/>
              </w:rPr>
              <w:t>与其他措施结合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做法</w:t>
            </w:r>
          </w:p>
        </w:tc>
        <w:tc>
          <w:tcPr>
            <w:tcW w:w="2576" w:type="pct"/>
          </w:tcPr>
          <w:p w14:paraId="2CE4C37A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建筑主要出入口均设置防护措施，通过设置雨棚、挑檐等构造形式，有效防止外墙饰面及门窗玻璃意外脱落对人员造成伤害。同时将防护措施与遮阳、挡雨功能相结合，提高空间使用舒适性与安全性。</w:t>
            </w:r>
          </w:p>
        </w:tc>
      </w:tr>
      <w:tr w14:paraId="51159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pct"/>
          </w:tcPr>
          <w:p w14:paraId="516A7A99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缓冲区</w:t>
            </w:r>
            <w:r>
              <w:rPr>
                <w:rFonts w:ascii="Times New Roman" w:hAnsi="Times New Roman" w:eastAsia="宋体" w:cs="Times New Roman"/>
                <w:szCs w:val="21"/>
              </w:rPr>
              <w:t>和隔离带的形式</w:t>
            </w:r>
          </w:p>
        </w:tc>
        <w:tc>
          <w:tcPr>
            <w:tcW w:w="2576" w:type="pct"/>
          </w:tcPr>
          <w:p w14:paraId="000033EA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通过场地设计，在建筑周边设置绿化带及景观空间，形成有效的安全缓冲区，减少人员在建筑外立面下方长时间停留。同时结合步行流线组织，将主要通行区域适当外移，降低高空坠物风险。</w:t>
            </w:r>
          </w:p>
        </w:tc>
      </w:tr>
    </w:tbl>
    <w:p w14:paraId="6A66901C"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请对采取何种</w:t>
      </w:r>
      <w:r>
        <w:rPr>
          <w:rFonts w:ascii="Times New Roman" w:hAnsi="Times New Roman" w:eastAsia="宋体" w:cs="Times New Roman"/>
          <w:szCs w:val="21"/>
        </w:rPr>
        <w:t>措施提高安全防护水平</w:t>
      </w:r>
      <w:r>
        <w:rPr>
          <w:rFonts w:hint="eastAsia" w:ascii="Times New Roman" w:hAnsi="Times New Roman" w:eastAsia="宋体" w:cs="Times New Roman"/>
          <w:szCs w:val="21"/>
        </w:rPr>
        <w:t>进行</w:t>
      </w:r>
      <w:r>
        <w:rPr>
          <w:rFonts w:ascii="Times New Roman" w:hAnsi="Times New Roman" w:eastAsia="宋体" w:cs="Times New Roman"/>
          <w:szCs w:val="21"/>
        </w:rPr>
        <w:t>简要说明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8209E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  <w:jc w:val="center"/>
        </w:trPr>
        <w:tc>
          <w:tcPr>
            <w:tcW w:w="9356" w:type="dxa"/>
          </w:tcPr>
          <w:p w14:paraId="58AB0CF1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本项目通过建筑设计与场地设计相结合的方式，系统性提升人员安全防护水平。在建筑单体层面，通过提高阳台、外窗及防护栏杆的安全标准，采用防攀爬及限位设计，降低坠落风险；在出入口空间，通过设置雨棚及挑檐等防护构造，有效防止外墙饰面及玻璃脱落伤人，并与遮阳避雨功能相结合；在场地层面，通过设置绿化缓冲区及优化人行流线，减少人员在高风险区域停留。多层级措施共同作用，有效保障人员安全。</w:t>
            </w:r>
          </w:p>
        </w:tc>
      </w:tr>
    </w:tbl>
    <w:p w14:paraId="792BA9AF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74961F42">
      <w:pPr>
        <w:spacing w:line="320" w:lineRule="exac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28542013">
      <w:pPr>
        <w:spacing w:line="320" w:lineRule="exac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1）阳台</w:t>
      </w:r>
      <w:r>
        <w:rPr>
          <w:rFonts w:ascii="Times New Roman" w:hAnsi="Times New Roman" w:eastAsia="宋体" w:cs="Times New Roman"/>
          <w:szCs w:val="21"/>
        </w:rPr>
        <w:t>、外窗、窗台、防护栏杆设计</w:t>
      </w:r>
      <w:r>
        <w:rPr>
          <w:rFonts w:hint="eastAsia" w:ascii="Times New Roman" w:hAnsi="Times New Roman" w:eastAsia="宋体" w:cs="Times New Roman"/>
          <w:szCs w:val="21"/>
        </w:rPr>
        <w:t>竣工图、建筑出入口</w:t>
      </w:r>
      <w:r>
        <w:rPr>
          <w:rFonts w:ascii="Times New Roman" w:hAnsi="Times New Roman" w:eastAsia="宋体" w:cs="Times New Roman"/>
          <w:szCs w:val="21"/>
        </w:rPr>
        <w:t>安全防护设计图</w:t>
      </w:r>
      <w:r>
        <w:rPr>
          <w:rFonts w:hint="eastAsia" w:ascii="Times New Roman" w:hAnsi="Times New Roman" w:eastAsia="宋体" w:cs="Times New Roman"/>
          <w:szCs w:val="21"/>
        </w:rPr>
        <w:t>；</w:t>
      </w:r>
    </w:p>
    <w:p w14:paraId="3F11ED2E">
      <w:pPr>
        <w:spacing w:line="320" w:lineRule="exac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2）防护栏杆相关检测报告；</w:t>
      </w:r>
    </w:p>
    <w:p w14:paraId="7CCEB647">
      <w:pPr>
        <w:spacing w:line="320" w:lineRule="exact"/>
        <w:rPr>
          <w:rFonts w:hint="eastAsia"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3）根据安全防护措施，形成专项报告。</w:t>
      </w:r>
    </w:p>
    <w:p w14:paraId="710DBD6F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64CB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06640191">
            <w:r>
              <w:drawing>
                <wp:inline distT="0" distB="0" distL="114300" distR="114300">
                  <wp:extent cx="5266055" cy="3119120"/>
                  <wp:effectExtent l="0" t="0" r="10795" b="50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311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69865" cy="3300730"/>
                  <wp:effectExtent l="0" t="0" r="6985" b="1397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330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66690" cy="3493770"/>
                  <wp:effectExtent l="0" t="0" r="10160" b="1143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49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drawing>
                <wp:inline distT="0" distB="0" distL="114300" distR="114300">
                  <wp:extent cx="5265420" cy="2684145"/>
                  <wp:effectExtent l="0" t="0" r="1143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268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7B97E6"/>
        </w:tc>
      </w:tr>
    </w:tbl>
    <w:p w14:paraId="26B05E5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484"/>
    <w:rsid w:val="00074A38"/>
    <w:rsid w:val="001407AB"/>
    <w:rsid w:val="008B1ABF"/>
    <w:rsid w:val="00A45484"/>
    <w:rsid w:val="00D72F68"/>
    <w:rsid w:val="00E756D4"/>
    <w:rsid w:val="75B6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6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qFormat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table" w:customStyle="1" w:styleId="13">
    <w:name w:val="网格型1"/>
    <w:basedOn w:val="6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1"/>
    </w:rPr>
  </w:style>
  <w:style w:type="character" w:customStyle="1" w:styleId="15">
    <w:name w:val="样式1"/>
    <w:basedOn w:val="8"/>
    <w:qFormat/>
    <w:uiPriority w:val="1"/>
    <w:rPr>
      <w:rFonts w:eastAsiaTheme="minorEastAsia"/>
      <w:sz w:val="21"/>
    </w:rPr>
  </w:style>
  <w:style w:type="character" w:customStyle="1" w:styleId="16">
    <w:name w:val="标题 3 Char"/>
    <w:basedOn w:val="8"/>
    <w:link w:val="2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glossaryDocument" Target="glossary/document.xml"/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B8EE7E6B67E40D4B0169319034AE8E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D7B0165-24FF-4614-BBDF-E929E70EE5B9}"/>
      </w:docPartPr>
      <w:docPartBody>
        <w:p w14:paraId="5F23912D">
          <w:pPr>
            <w:pStyle w:val="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BE7EE90B51954016B00F35D9702875D8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8A1D8B6-4406-4FDC-AA3A-1F418E30DB9C}"/>
      </w:docPartPr>
      <w:docPartBody>
        <w:p w14:paraId="6D3968CA">
          <w:pPr>
            <w:pStyle w:val="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5A4607D4EE8D4282ABBA4D3FAA869FF2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76FE3AB-DBBD-4FD6-8525-DA40A9DCC6F8}"/>
      </w:docPartPr>
      <w:docPartBody>
        <w:p w14:paraId="0291A794">
          <w:pPr>
            <w:pStyle w:val="7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0970E5F3B7B84D4EB9DC1835C1A4DBC4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D7F8CB8-C330-4CFB-A825-9F6DB8F5C0BB}"/>
      </w:docPartPr>
      <w:docPartBody>
        <w:p w14:paraId="784E0452">
          <w:pPr>
            <w:pStyle w:val="8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DC4"/>
    <w:rsid w:val="00482C7B"/>
    <w:rsid w:val="00A27DC4"/>
    <w:rsid w:val="00AD237F"/>
    <w:rsid w:val="00AD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  <w:lsdException w:qFormat="1"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qFormat/>
    <w:uiPriority w:val="99"/>
    <w:rPr>
      <w:color w:val="808080"/>
    </w:rPr>
  </w:style>
  <w:style w:type="paragraph" w:customStyle="1" w:styleId="5">
    <w:name w:val="7B8EE7E6B67E40D4B0169319034AE8E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BE7EE90B51954016B00F35D9702875D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5A4607D4EE8D4282ABBA4D3FAA869FF2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0970E5F3B7B84D4EB9DC1835C1A4DBC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72A3C945861D482BB78CA13CF4E310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DF663F9453214CC6A23A156F41A9862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6D7B2318CBF140DE8F6CEFCA4096026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BFBD00A8ED9043D19BC803662D3EEF8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FD5EB711274D4CB3A489B1C1726FC77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293</Words>
  <Characters>299</Characters>
  <Lines>2</Lines>
  <Paragraphs>1</Paragraphs>
  <TotalTime>7</TotalTime>
  <ScaleCrop>false</ScaleCrop>
  <LinksUpToDate>false</LinksUpToDate>
  <CharactersWithSpaces>311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2019-07-12T07:42:00Z</dcterms:created>
  <dc:creator>dongYP</dc:creator>
  <cp:lastModifiedBy>也职鼓刀</cp:lastModifiedBy>
  <dcterms:modified xsi:type="dcterms:W3CDTF">2026-03-23T04:39:36Z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eyJoZGlkIjoiNzRiZDMwNDc4NjlhNDA5NjAxYzBlYzg5MDJiMmU4ODgiLCJ1c2VySWQiOiIxNzg4NDU5NTI1In0=</vt:lpwstr>
  </property>
  <property fmtid="{D5CDD505-2E9C-101B-9397-08002B2CF9AE}" pid="3" name="KSOProductBuildVer">
    <vt:lpwstr>2052-12.1.0.24657</vt:lpwstr>
  </property>
  <property fmtid="{D5CDD505-2E9C-101B-9397-08002B2CF9AE}" pid="4" name="ICV">
    <vt:lpwstr>410BDA7E0AA04D6399B61759B2702B1A_13</vt:lpwstr>
  </property>
</Properties>
</file>