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檐下三生——循环共生的未来乡村客厅设计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卧室分户墙和卧室分户楼板两侧房间之间的空气声隔声性能（计权标准化声压级差与交通噪声频谱修正量之和DnT,w+Ctr）≥47dB，卧室分户楼板的撞击声隔声性能（计权标准化撞击声压级L'nT,w）≤60dB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21%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57.0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总得分：Q=（Q0+Q1+Q2+Q3+Q4+Q5+QA）/10=93.4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34114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8444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