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AE4B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ajorEastAsia" w:hAnsiTheme="majorEastAsia" w:eastAsiaTheme="majorEastAsia" w:cstheme="majorEastAsia"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sz w:val="52"/>
          <w:szCs w:val="52"/>
        </w:rPr>
        <w:t>绿色技术应用说明报告</w:t>
      </w:r>
    </w:p>
    <w:p w14:paraId="141D77FB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37492E7F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7439AFEB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759D05EB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457E880F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02AC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3C31A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13" w:beforeLines="1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</w:rPr>
              <w:t>报告名称</w:t>
            </w:r>
          </w:p>
        </w:tc>
        <w:tc>
          <w:tcPr>
            <w:tcW w:w="4261" w:type="dxa"/>
          </w:tcPr>
          <w:p w14:paraId="59838CD5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</w:rPr>
              <w:t>综合楼混合相变材料绿色技术应用说明报告</w:t>
            </w:r>
          </w:p>
        </w:tc>
      </w:tr>
      <w:tr w14:paraId="0B4B4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3C7E88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</w:rPr>
              <w:t>工程名称</w:t>
            </w:r>
          </w:p>
        </w:tc>
        <w:tc>
          <w:tcPr>
            <w:tcW w:w="4261" w:type="dxa"/>
          </w:tcPr>
          <w:p w14:paraId="0D927E6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综合楼</w:t>
            </w:r>
          </w:p>
        </w:tc>
      </w:tr>
      <w:tr w14:paraId="46E9A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07DA93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</w:rPr>
              <w:t>工程地点</w:t>
            </w:r>
          </w:p>
        </w:tc>
        <w:tc>
          <w:tcPr>
            <w:tcW w:w="4261" w:type="dxa"/>
          </w:tcPr>
          <w:p w14:paraId="571F572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北京 - 北京</w:t>
            </w:r>
          </w:p>
        </w:tc>
      </w:tr>
      <w:tr w14:paraId="45B59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8A8988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</w:rPr>
              <w:t>设计单位</w:t>
            </w:r>
          </w:p>
        </w:tc>
        <w:tc>
          <w:tcPr>
            <w:tcW w:w="4261" w:type="dxa"/>
          </w:tcPr>
          <w:p w14:paraId="614F99B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  <w:lang w:val="en-US" w:eastAsia="zh-CN"/>
              </w:rPr>
              <w:t>北京联合大学</w:t>
            </w:r>
          </w:p>
        </w:tc>
      </w:tr>
      <w:tr w14:paraId="35747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73208E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</w:rPr>
              <w:t>编制日期</w:t>
            </w:r>
          </w:p>
        </w:tc>
        <w:tc>
          <w:tcPr>
            <w:tcW w:w="4261" w:type="dxa"/>
          </w:tcPr>
          <w:p w14:paraId="36E14C4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36"/>
                <w:szCs w:val="36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2"/>
                <w:szCs w:val="32"/>
              </w:rPr>
              <w:t>2026 年 1 月 1 日</w:t>
            </w:r>
          </w:p>
        </w:tc>
      </w:tr>
    </w:tbl>
    <w:p w14:paraId="4900655B">
      <w:pPr>
        <w:rPr>
          <w:rFonts w:hint="eastAsia" w:asciiTheme="minorEastAsia" w:hAnsiTheme="minorEastAsia" w:eastAsiaTheme="minorEastAsia" w:cstheme="minorEastAsia"/>
          <w:sz w:val="30"/>
          <w:szCs w:val="30"/>
        </w:rPr>
      </w:pPr>
    </w:p>
    <w:p w14:paraId="5521D41D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0176C787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13F8E47E">
      <w:pP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</w:p>
    <w:p w14:paraId="52061843">
      <w:pPr>
        <w:rPr>
          <w:rFonts w:hint="eastAsia" w:asciiTheme="minorEastAsia" w:hAnsiTheme="minorEastAsia" w:eastAsiaTheme="minorEastAsia" w:cstheme="minorEastAsia"/>
          <w:sz w:val="36"/>
          <w:szCs w:val="36"/>
        </w:rPr>
      </w:pPr>
    </w:p>
    <w:p w14:paraId="13101FFC">
      <w:pPr>
        <w:rPr>
          <w:rFonts w:hint="eastAsia"/>
        </w:rPr>
      </w:pPr>
    </w:p>
    <w:p w14:paraId="2D8B5005">
      <w:pPr>
        <w:rPr>
          <w:rFonts w:hint="eastAsia"/>
        </w:rPr>
      </w:pPr>
    </w:p>
    <w:p w14:paraId="7F08D803">
      <w:pPr>
        <w:rPr>
          <w:rFonts w:hint="eastAsia"/>
        </w:rPr>
      </w:pPr>
    </w:p>
    <w:p w14:paraId="623E3732">
      <w:pPr>
        <w:rPr>
          <w:rFonts w:hint="eastAsia"/>
        </w:rPr>
      </w:pPr>
    </w:p>
    <w:p w14:paraId="74F29C90">
      <w:pPr>
        <w:rPr>
          <w:rFonts w:hint="eastAsia"/>
        </w:rPr>
      </w:pPr>
    </w:p>
    <w:p w14:paraId="0D03BC13">
      <w:pPr>
        <w:rPr>
          <w:rFonts w:hint="eastAsia"/>
        </w:rPr>
      </w:pPr>
    </w:p>
    <w:p w14:paraId="5B2F2382">
      <w:pPr>
        <w:rPr>
          <w:rFonts w:hint="eastAsia"/>
        </w:rPr>
      </w:pPr>
    </w:p>
    <w:p w14:paraId="156080B5">
      <w:pPr>
        <w:rPr>
          <w:rFonts w:hint="eastAsia"/>
        </w:rPr>
      </w:pPr>
    </w:p>
    <w:p w14:paraId="3C8775BE"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48"/>
          <w:szCs w:val="24"/>
          <w:lang w:val="en-US" w:eastAsia="zh-CN" w:bidi="ar-SA"/>
        </w:rPr>
        <w:id w:val="147459512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Ascii" w:hAnsiTheme="minorAscii" w:eastAsiaTheme="minorEastAsia" w:cstheme="minorBidi"/>
          <w:kern w:val="2"/>
          <w:sz w:val="28"/>
          <w:szCs w:val="24"/>
          <w:lang w:val="en-US" w:eastAsia="zh-CN" w:bidi="ar-SA"/>
        </w:rPr>
      </w:sdtEndPr>
      <w:sdtContent>
        <w:p w14:paraId="3E843A5E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textAlignment w:val="auto"/>
            <w:rPr>
              <w:rFonts w:eastAsia="宋体"/>
              <w:sz w:val="48"/>
            </w:rPr>
          </w:pPr>
          <w:r>
            <w:rPr>
              <w:rFonts w:ascii="宋体" w:hAnsi="宋体" w:eastAsia="宋体"/>
              <w:sz w:val="48"/>
            </w:rPr>
            <w:t>目录</w:t>
          </w:r>
        </w:p>
        <w:p w14:paraId="2FBAEE55">
          <w:pPr>
            <w:pStyle w:val="2"/>
            <w:tabs>
              <w:tab w:val="right" w:leader="dot" w:pos="8306"/>
            </w:tabs>
            <w:rPr>
              <w:rFonts w:hint="default" w:asciiTheme="minorAscii" w:hAnsiTheme="minorAscii"/>
              <w:sz w:val="28"/>
            </w:rPr>
          </w:pPr>
        </w:p>
        <w:p w14:paraId="0EDD7904">
          <w:pPr>
            <w:pStyle w:val="2"/>
            <w:tabs>
              <w:tab w:val="right" w:leader="dot" w:pos="8306"/>
            </w:tabs>
            <w:rPr>
              <w:rFonts w:hint="default" w:asciiTheme="minorAscii" w:hAnsiTheme="minorAscii"/>
              <w:sz w:val="28"/>
            </w:rPr>
          </w:pPr>
        </w:p>
        <w:p w14:paraId="08DF4980">
          <w:pPr>
            <w:pStyle w:val="2"/>
            <w:tabs>
              <w:tab w:val="right" w:leader="dot" w:pos="8306"/>
            </w:tabs>
            <w:rPr>
              <w:rFonts w:hint="default" w:asciiTheme="minorAscii" w:hAnsiTheme="minorAscii"/>
              <w:sz w:val="28"/>
            </w:rPr>
          </w:pPr>
        </w:p>
        <w:p w14:paraId="33317E6F">
          <w:pPr>
            <w:pStyle w:val="2"/>
            <w:tabs>
              <w:tab w:val="right" w:leader="dot" w:pos="8306"/>
            </w:tabs>
            <w:rPr>
              <w:rFonts w:hint="default" w:asciiTheme="minorAscii" w:hAnsiTheme="minorAscii"/>
              <w:sz w:val="28"/>
            </w:rPr>
          </w:pPr>
        </w:p>
        <w:p w14:paraId="1F908B48">
          <w:pPr>
            <w:pStyle w:val="2"/>
            <w:tabs>
              <w:tab w:val="right" w:leader="dot" w:pos="8306"/>
            </w:tabs>
            <w:rPr>
              <w:rFonts w:hint="default" w:asciiTheme="minorAscii" w:hAnsiTheme="minorAscii"/>
              <w:sz w:val="28"/>
            </w:rPr>
          </w:pPr>
        </w:p>
        <w:p w14:paraId="101081AA">
          <w:pPr>
            <w:pStyle w:val="2"/>
            <w:tabs>
              <w:tab w:val="right" w:leader="dot" w:pos="8306"/>
            </w:tabs>
            <w:rPr>
              <w:rFonts w:hint="default" w:asciiTheme="minorAscii" w:hAnsiTheme="minorAscii"/>
              <w:sz w:val="28"/>
            </w:rPr>
          </w:pPr>
        </w:p>
        <w:p w14:paraId="6A5D4C5B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TOC \o "1-1" \h \u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_Toc30680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1. 绿色技术概述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_Toc30680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3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1540891E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_Toc758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2. 技术可行性与多专业适配性分析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_Toc758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3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1B68ED0A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_Toc22072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3. 建筑节点选取与技术融入措施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_Toc22072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4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4E7916E1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_Toc10900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4. 技术模型与节点大样图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_Toc10900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5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346E9133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_Toc32587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5. 材料参数表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_Toc32587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5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77F3930E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_Toc5938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6. 性能仿真验证数据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_Toc5938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5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54687666">
          <w:pPr>
            <w:pStyle w:val="2"/>
            <w:tabs>
              <w:tab w:val="right" w:leader="dot" w:pos="8306"/>
            </w:tabs>
            <w:rPr>
              <w:rFonts w:hint="default" w:asciiTheme="minorAscii" w:hAnsiTheme="minorAscii" w:eastAsiaTheme="minorEastAsia"/>
              <w:sz w:val="30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HYPERLINK \l _Toc11018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7. 技术落地可能性结论</w:t>
          </w:r>
          <w:r>
            <w:rPr>
              <w:rFonts w:hint="default" w:asciiTheme="minorAscii" w:hAnsiTheme="minorAscii" w:eastAsiaTheme="minorEastAsia"/>
              <w:sz w:val="30"/>
            </w:rPr>
            <w:tab/>
          </w:r>
          <w:r>
            <w:rPr>
              <w:rFonts w:hint="default" w:asciiTheme="minorAscii" w:hAnsiTheme="minorAscii" w:eastAsiaTheme="minorEastAsia"/>
              <w:sz w:val="30"/>
            </w:rPr>
            <w:fldChar w:fldCharType="begin"/>
          </w:r>
          <w:r>
            <w:rPr>
              <w:rFonts w:hint="default" w:asciiTheme="minorAscii" w:hAnsiTheme="minorAscii" w:eastAsiaTheme="minorEastAsia"/>
              <w:sz w:val="30"/>
            </w:rPr>
            <w:instrText xml:space="preserve"> PAGEREF _Toc11018 \h </w:instrText>
          </w:r>
          <w:r>
            <w:rPr>
              <w:rFonts w:hint="default" w:asciiTheme="minorAscii" w:hAnsiTheme="minorAscii" w:eastAsiaTheme="minorEastAsia"/>
              <w:sz w:val="30"/>
            </w:rPr>
            <w:fldChar w:fldCharType="separate"/>
          </w:r>
          <w:r>
            <w:rPr>
              <w:rFonts w:hint="default" w:asciiTheme="minorAscii" w:hAnsiTheme="minorAscii" w:eastAsiaTheme="minorEastAsia"/>
              <w:sz w:val="30"/>
            </w:rPr>
            <w:t>6</w:t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  <w:p w14:paraId="4BD9613C">
          <w:pPr>
            <w:rPr>
              <w:rFonts w:hint="default" w:asciiTheme="minorAscii" w:hAnsiTheme="minorAscii" w:eastAsiaTheme="minorEastAsia" w:cstheme="minorBidi"/>
              <w:kern w:val="2"/>
              <w:sz w:val="28"/>
              <w:szCs w:val="24"/>
              <w:lang w:val="en-US" w:eastAsia="zh-CN" w:bidi="ar-SA"/>
            </w:rPr>
          </w:pPr>
          <w:r>
            <w:rPr>
              <w:rFonts w:hint="default" w:asciiTheme="minorAscii" w:hAnsiTheme="minorAscii" w:eastAsiaTheme="minorEastAsia"/>
              <w:sz w:val="30"/>
            </w:rPr>
            <w:fldChar w:fldCharType="end"/>
          </w:r>
        </w:p>
      </w:sdtContent>
    </w:sdt>
    <w:p w14:paraId="21466796"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8D8BD4B">
      <w:pPr>
        <w:rPr>
          <w:rFonts w:hint="eastAsia"/>
        </w:rPr>
      </w:pPr>
    </w:p>
    <w:p w14:paraId="02A22CC1">
      <w:pPr>
        <w:rPr>
          <w:rFonts w:hint="eastAsia"/>
        </w:rPr>
      </w:pPr>
    </w:p>
    <w:p w14:paraId="71120679">
      <w:pPr>
        <w:rPr>
          <w:rFonts w:hint="eastAsia"/>
        </w:rPr>
      </w:pPr>
    </w:p>
    <w:p w14:paraId="21F081B5">
      <w:pPr>
        <w:rPr>
          <w:rFonts w:hint="eastAsia"/>
        </w:rPr>
      </w:pPr>
    </w:p>
    <w:p w14:paraId="5A5C5FA2">
      <w:pPr>
        <w:rPr>
          <w:rFonts w:hint="eastAsia"/>
        </w:rPr>
      </w:pPr>
    </w:p>
    <w:p w14:paraId="1142EB38">
      <w:pPr>
        <w:rPr>
          <w:rFonts w:hint="eastAsia"/>
        </w:rPr>
      </w:pPr>
    </w:p>
    <w:p w14:paraId="7701D8CA">
      <w:pPr>
        <w:rPr>
          <w:rFonts w:hint="eastAsia"/>
        </w:rPr>
      </w:pPr>
    </w:p>
    <w:p w14:paraId="3DA9FBB4">
      <w:pPr>
        <w:rPr>
          <w:rFonts w:hint="eastAsia"/>
        </w:rPr>
      </w:pPr>
    </w:p>
    <w:p w14:paraId="1CAA7D6B">
      <w:pPr>
        <w:rPr>
          <w:rFonts w:hint="eastAsia"/>
        </w:rPr>
      </w:pPr>
    </w:p>
    <w:p w14:paraId="280817F7">
      <w:pPr>
        <w:rPr>
          <w:rFonts w:hint="eastAsia"/>
        </w:rPr>
      </w:pPr>
    </w:p>
    <w:p w14:paraId="5DEB79DA">
      <w:pPr>
        <w:rPr>
          <w:rFonts w:hint="eastAsia"/>
        </w:rPr>
      </w:pPr>
    </w:p>
    <w:p w14:paraId="0949F647">
      <w:pPr>
        <w:rPr>
          <w:rFonts w:hint="eastAsia"/>
        </w:rPr>
      </w:pPr>
    </w:p>
    <w:p w14:paraId="4775BFE4">
      <w:pPr>
        <w:rPr>
          <w:rFonts w:hint="eastAsia"/>
        </w:rPr>
      </w:pPr>
    </w:p>
    <w:p w14:paraId="68508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bookmarkStart w:id="0" w:name="_Toc28215"/>
      <w:bookmarkStart w:id="1" w:name="_Toc30680"/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1. 绿色技术概述</w:t>
      </w:r>
      <w:bookmarkEnd w:id="0"/>
      <w:bookmarkEnd w:id="1"/>
    </w:p>
    <w:p w14:paraId="55D5E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本项目聚焦混合相变材料在建筑围护结构中的创新应用，选取 20% 混合相变材料砂浆、3% 混合相变材料混凝土两种核心绿色新材料，融入外墙填充墙、剪力墙、挑空楼板等关键围护结构，通过相变材料 “储热 - 放热” 的动态热响应特性，实现建筑室内热环境的自适应调节，降低建筑采暖空调能耗，属于建筑节能领域的新技术应用。</w:t>
      </w:r>
    </w:p>
    <w:p w14:paraId="29B455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相变材料作为新型节能材料，其核心优势在于相变过程中可吸收或释放大量潜热，能有效平抑室内温度波动：夏季吸收太阳辐射热与室内余热，降低制冷负荷；冬季释放储存热量，减少采暖能耗，同时提升室内热舒适度。该技术符合《建筑节能与可再生能源利用通用规范》GB55015-2021 中 “提升围护结构热工性能” 的核心要求，是本项目绿色建筑理念的核心落地载体。</w:t>
      </w:r>
    </w:p>
    <w:p w14:paraId="20A22C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bookmarkStart w:id="2" w:name="_Toc5698"/>
      <w:bookmarkStart w:id="3" w:name="_Toc758"/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2. 技术可行性与多专业适配性分析</w:t>
      </w:r>
      <w:bookmarkEnd w:id="2"/>
      <w:bookmarkEnd w:id="3"/>
    </w:p>
    <w:p w14:paraId="39AA4EC2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2.1 技术可行性验证</w:t>
      </w:r>
    </w:p>
    <w:p w14:paraId="26FB5729">
      <w:pPr>
        <w:numPr>
          <w:ilvl w:val="0"/>
          <w:numId w:val="1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材料性能达标：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混合相变材料的关键技术参数经实验室检测与规范验证，20% 混合相变材料砂浆导热系数 1.180W/(m・K)、蓄热系数 58.300W/(㎡・K)，3% 混合相变材料混凝土导热系数 1.550W/(m・K)、蓄热系数 61.500W/(㎡・K)，均满足《民用建筑热工设计规范》GB50176-2016 对围护结构材料的基本要求，且蓄热系数远高于常规砂浆与混凝土，储热性能优势显著。</w:t>
      </w:r>
    </w:p>
    <w:p w14:paraId="1B42A961">
      <w:pPr>
        <w:numPr>
          <w:ilvl w:val="0"/>
          <w:numId w:val="1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施工工艺成熟：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混合相变材料砂浆、混凝土的施工流程与常规建筑材料一致，可采用现场搅拌、砌筑、浇筑等常规工艺，无需新增专用施工设备，施工队伍经简单技术交底即可操作，符合工程施工的技术可行性要求。</w:t>
      </w:r>
    </w:p>
    <w:p w14:paraId="417A9067">
      <w:pPr>
        <w:numPr>
          <w:ilvl w:val="0"/>
          <w:numId w:val="1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成本可控：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材料采购依托现有建材供应链，混合相变材料与常规材料的价差可通过长期节能效益抵消，项目全生命周期成本优势明显。</w:t>
      </w:r>
    </w:p>
    <w:p w14:paraId="57D3562E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2.2 多专业适配性分析</w:t>
      </w:r>
    </w:p>
    <w:p w14:paraId="729C02F6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2.2.1 与建筑艺术的适配性</w:t>
      </w:r>
    </w:p>
    <w:p w14:paraId="51CC5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本技术应用不改变建筑外立面设计风格，外墙填充墙外侧仍采用 20mm 水泥砂浆饰面，可根据建筑整体艺术定位进行涂料、真石漆等后续装饰处理，兼顾节能性能与建筑美学表达，避免因节能材料应用导致立面效果突兀。同时，相变材料的隐式应用不影响建筑开窗布局与立面比例，与 60 系列铝合金窗、玻璃幕墙的搭配协调统一，保障建筑外观的完整性与设计感。</w:t>
      </w:r>
    </w:p>
    <w:p w14:paraId="70A005D4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2.2.2 与多专业技术的适配性</w:t>
      </w:r>
    </w:p>
    <w:p w14:paraId="2DD5B8AB">
      <w:pPr>
        <w:numPr>
          <w:ilvl w:val="0"/>
          <w:numId w:val="2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结构专业：3% 混合相变材料混凝土密度 2180kg/m³，与常规混凝土密度接近，20% 混合相变材料砂浆密度 1890kg/m³，符合墙体材料密度限值要求，不会增加建筑结构自重，结构设计无需额外加强，适配现有结构体系。</w:t>
      </w:r>
    </w:p>
    <w:p w14:paraId="776D39F0">
      <w:pPr>
        <w:numPr>
          <w:ilvl w:val="0"/>
          <w:numId w:val="2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暖通专业：相变材料的高蓄热特性可降低室内温度波动幅度，减少空调、采暖设备的启停频率，与建筑暖通系统形成协同，提升系统运行效率，适配暖通专业的节能设计目标。</w:t>
      </w:r>
    </w:p>
    <w:p w14:paraId="57B4414F">
      <w:pPr>
        <w:numPr>
          <w:ilvl w:val="0"/>
          <w:numId w:val="2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热工专业：材料热惰性指标（D 值）满足《建筑节能与可再生能源利用通用规范》GB55015-2021 要求，与岩棉板、挤塑聚苯板等保温材料协同作用，构建高效保温蓄热围护结构，适配热工专业的节能指标要求。</w:t>
      </w:r>
    </w:p>
    <w:p w14:paraId="48B068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bookmarkStart w:id="4" w:name="_Toc30170"/>
      <w:bookmarkStart w:id="5" w:name="_Toc22072"/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3. 建筑节点选取与技术融入措施</w:t>
      </w:r>
      <w:bookmarkEnd w:id="4"/>
      <w:bookmarkEnd w:id="5"/>
    </w:p>
    <w:p w14:paraId="6DB2FBE0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3.1 建筑节点选取</w:t>
      </w:r>
    </w:p>
    <w:p w14:paraId="2135A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选取外墙填充墙构造一作为核心节点（对应工程图纸中主墙体构造），该节点是建筑围护结构的关键组成部分，占外墙总面积的 90.8%，其热工性能直接影响建筑整体节能效果，是混合相变材料应用的核心载体。</w:t>
      </w:r>
    </w:p>
    <w:p w14:paraId="2AAB468B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3.2 技术融入详细措施</w:t>
      </w:r>
    </w:p>
    <w:p w14:paraId="0DA2010B">
      <w:pPr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外墙填充墙构造一采用 “外保温 + 内蓄热” 的复合设计，混合相变材料通过 “砂浆 + 混凝土” 两种形态分层融入，具体融入措施如下：</w:t>
      </w:r>
    </w:p>
    <w:p w14:paraId="6852571B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3.2.1 构造层次设计（由外到内）</w:t>
      </w:r>
    </w:p>
    <w:p w14:paraId="23C8EE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外层防护层：20mm 水泥砂浆（编号 1），作为外墙外饰面基层，承担防护、找平功能，为后续装饰提供基础，同时其导热系数 0.930W/(m・K)，可保障墙体外侧热量传递的稳定性。</w:t>
      </w:r>
    </w:p>
    <w:p w14:paraId="5A835F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保温层：70mm 岩棉板（ρ=60-160，编号 29），导热系数 0.041W/(m・K)，热阻 1.552 (㎡・K)/W，作为核心保温材料，阻断室外冷热空气直接渗透，降低传热损失。</w:t>
      </w:r>
    </w:p>
    <w:p w14:paraId="56BC8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承重与蓄热层：200mm 蒸压加气混凝土砌块（编号 26），导热系数 0.100W/(m・K)，热阻 1.600 (㎡・K)/W，兼具承重与保温性能，为相变材料提供安装载体。</w:t>
      </w:r>
    </w:p>
    <w:p w14:paraId="7C679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内层蓄热层：20mm20% 混合相变材料砂浆（编号 18），直接贴合室内侧，利用其高蓄热系数（58.300W/(㎡・K)），在日间吸收室内热量，夜间释放热量，调节室内温度，提升热舒适度。</w:t>
      </w:r>
    </w:p>
    <w:p w14:paraId="762D85C9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3.2.2 相变材料融入逻辑</w:t>
      </w:r>
    </w:p>
    <w:p w14:paraId="4EB3BF98">
      <w:pPr>
        <w:numPr>
          <w:ilvl w:val="0"/>
          <w:numId w:val="3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位置选择：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20% 混合相变材料砂浆设置于室内侧，紧邻室内空间，可直接感知室内温度变化，快速响应热量吸收与释放；3% 混合相变材料混凝土虽未在本节点应用，但在剪力墙、热桥柱节点中作为承重蓄热层，与本节点形成协同，构建整体建筑蓄热体系。</w:t>
      </w:r>
    </w:p>
    <w:p w14:paraId="663BD69F">
      <w:pPr>
        <w:numPr>
          <w:ilvl w:val="0"/>
          <w:numId w:val="3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厚度优化：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20mm 混合相变材料砂浆厚度经过热工计算优化，既保证蓄热容量，又避免因厚度过大影响室内使用空间，同时与常规墙体抹灰厚度一致，不改变建筑净空尺寸。</w:t>
      </w:r>
    </w:p>
    <w:p w14:paraId="00964C65">
      <w:pPr>
        <w:numPr>
          <w:ilvl w:val="0"/>
          <w:numId w:val="3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衔接处理：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相变材料砂浆与蒸压加气混凝土砌块之间采用界面剂处理，确保粘结强度，避免后期开裂；与室内装修层直接衔接，无需额外过渡层，施工便捷。</w:t>
      </w:r>
    </w:p>
    <w:p w14:paraId="09844595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3.2.3 多专业协同融入措施</w:t>
      </w:r>
    </w:p>
    <w:p w14:paraId="0E3E20B1">
      <w:pPr>
        <w:numPr>
          <w:ilvl w:val="0"/>
          <w:numId w:val="4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结构衔接：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填充墙与框架柱、剪力墙的衔接处，采用 3% 混合相变材料混凝土浇筑节点，既保证结构整体性，又延续蓄热性能，避免热桥效应。</w:t>
      </w:r>
    </w:p>
    <w:p w14:paraId="5180E524">
      <w:pPr>
        <w:numPr>
          <w:ilvl w:val="0"/>
          <w:numId w:val="4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热工协同：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保温层（岩棉板）与蓄热层（相变材料砂浆）的热阻、热惰性指标匹配，经 BECS2024 软件计算，墙体整体传热系数 K=0.299W/(㎡・K)，热惰性指标 D=6.063，满足规范要求，实现保温与蓄热的协同优化。</w:t>
      </w:r>
    </w:p>
    <w:p w14:paraId="6E77E5B9">
      <w:pPr>
        <w:numPr>
          <w:ilvl w:val="0"/>
          <w:numId w:val="4"/>
        </w:numPr>
        <w:ind w:left="425" w:leftChars="0" w:hanging="425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施工协同：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相变材料砂浆的抹灰施工与常规抹灰工艺同步进行，在蒸压加气混凝土砌块砌筑完成后，直接进行相变材料砂浆抹灰，无需额外工序，与砌筑、装修施工流程无缝衔接。</w:t>
      </w:r>
    </w:p>
    <w:p w14:paraId="327CD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bookmarkStart w:id="6" w:name="_Toc10900"/>
      <w:bookmarkStart w:id="7" w:name="_Toc2263"/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4. 技术模型与节点大样图</w:t>
      </w:r>
      <w:bookmarkEnd w:id="6"/>
      <w:bookmarkEnd w:id="7"/>
    </w:p>
    <w:p w14:paraId="12395037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4.1 技术模型</w:t>
      </w:r>
    </w:p>
    <w:p w14:paraId="1D7D3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本节点技术模型基于实际工程构造设计，采用 “防护层 - 保温层 - 承重层 - 蓄热层” 的四层复合结构，模型尺寸为 3000mm（宽）×2800mm（高）×310mm（厚），与实际建筑墙体尺寸一致，涵盖所有核心材料层与衔接节点，可直接用于工程施工指导。</w:t>
      </w:r>
    </w:p>
    <w:p w14:paraId="24267B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5269865" cy="4158615"/>
            <wp:effectExtent l="0" t="0" r="635" b="6985"/>
            <wp:docPr id="11" name="图片 1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GoBack"/>
      <w:bookmarkEnd w:id="21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2505075</wp:posOffset>
                </wp:positionV>
                <wp:extent cx="1320165" cy="567690"/>
                <wp:effectExtent l="0" t="0" r="635" b="38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72455" y="7778115"/>
                          <a:ext cx="1320165" cy="567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65pt;margin-top:197.25pt;height:44.7pt;width:103.95pt;z-index:251659264;v-text-anchor:middle;mso-width-relative:page;mso-height-relative:page;" fillcolor="#FFFFFF [3212]" filled="t" stroked="f" coordsize="21600,21600" o:gfxdata="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3RBN/cAAAACwEAAA8AAAAAAAAAAQAgAAAAIgAA&#10;AGRycy9kb3ducmV2LnhtbFBLAQIUABQAAAAIAIdO4kABpvK8dgIAANcEAAAOAAAAAAAAAAEAIAAA&#10;ACs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DC48163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4.2 节点大样图</w:t>
      </w:r>
    </w:p>
    <w:p w14:paraId="7C0342A3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53355" cy="2995295"/>
            <wp:effectExtent l="0" t="0" r="4445" b="0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4517390</wp:posOffset>
                </wp:positionH>
                <wp:positionV relativeFrom="paragraph">
                  <wp:posOffset>66040</wp:posOffset>
                </wp:positionV>
                <wp:extent cx="728345" cy="210820"/>
                <wp:effectExtent l="0" t="0" r="8255" b="5080"/>
                <wp:wrapNone/>
                <wp:docPr id="8" name="组合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" cy="210518"/>
                          <a:chOff x="30391" y="28958"/>
                          <a:chExt cx="1147" cy="312"/>
                        </a:xfrm>
                      </wpg:grpSpPr>
                      <wps:wsp>
                        <wps:cNvPr id="275" name="矩形 274"/>
                        <wps:cNvSpPr/>
                        <wps:spPr>
                          <a:xfrm>
                            <a:off x="30404" y="28958"/>
                            <a:ext cx="1134" cy="1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6" name="矩形 275"/>
                        <wps:cNvSpPr/>
                        <wps:spPr>
                          <a:xfrm>
                            <a:off x="30391" y="29123"/>
                            <a:ext cx="1134" cy="1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6" o:spid="_x0000_s1026" o:spt="203" style="position:absolute;left:0pt;margin-left:355.7pt;margin-top:5.2pt;height:16.6pt;width:57.35pt;z-index:251660288;mso-width-relative:page;mso-height-relative:page;" coordorigin="30391,28958" coordsize="1147,312" o:gfxdata="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WCVme2QAAAAkBAAAPAAAA&#10;AAAAAAEAIAAAACIAAABkcnMvZG93bnJldi54bWxQSwECFAAUAAAACACHTuJA5fgBB4YCAADsBgAA&#10;DgAAAAAAAAABACAAAAAoAQAAZHJzL2Uyb0RvYy54bWxQSwUGAAAAAAYABgBZAQAAIAYAAAAA&#10;">
                <o:lock v:ext="edit" aspectratio="f"/>
                <v:rect id="矩形 274" o:spid="_x0000_s1026" o:spt="1" style="position:absolute;left:30404;top:28958;height:147;width:1134;v-text-anchor:middle;" fillcolor="#FFFFFF [3212]" filled="t" stroked="f" coordsize="21600,21600" o:gfxdata="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k+OK/&#10;AAAA3A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275" o:spid="_x0000_s1026" o:spt="1" style="position:absolute;left:30391;top:29123;height:147;width:1134;v-text-anchor:middle;" fillcolor="#FFFFFF [3212]" filled="t" stroked="f" coordsize="21600,21600" o:gfxdata="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Zmlb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4BC84466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构造层次（由外到内）：</w:t>
      </w:r>
    </w:p>
    <w:p w14:paraId="21AF024A">
      <w:pPr>
        <w:numPr>
          <w:ilvl w:val="0"/>
          <w:numId w:val="5"/>
        </w:numPr>
        <w:ind w:left="420" w:leftChars="0" w:hanging="420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20mm 水泥砂浆（外饰面基层）</w:t>
      </w:r>
    </w:p>
    <w:p w14:paraId="6D5D0E45">
      <w:pPr>
        <w:numPr>
          <w:ilvl w:val="0"/>
          <w:numId w:val="5"/>
        </w:numPr>
        <w:ind w:left="420" w:leftChars="0" w:hanging="420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70mm 岩棉板（保温层），采用专用锚栓固定，锚栓间距 500mm×500mm</w:t>
      </w:r>
    </w:p>
    <w:p w14:paraId="6490CC72">
      <w:pPr>
        <w:numPr>
          <w:ilvl w:val="0"/>
          <w:numId w:val="5"/>
        </w:numPr>
        <w:ind w:left="420" w:leftChars="0" w:hanging="420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200mm 蒸压加气混凝土砌块（承重层），灰缝厚度 10mm</w:t>
      </w:r>
    </w:p>
    <w:p w14:paraId="547B8B69">
      <w:pPr>
        <w:numPr>
          <w:ilvl w:val="0"/>
          <w:numId w:val="5"/>
        </w:numPr>
        <w:ind w:left="420" w:leftChars="0" w:hanging="420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20mm20% 混合相变材料砂浆（蓄热层）</w:t>
      </w:r>
    </w:p>
    <w:p w14:paraId="3FE1A0C9">
      <w:pPr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衔接节点：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与框架柱衔接处，柱外侧包裹 70mm 岩棉板 + 20mm 水泥砂浆，内侧抹 20mm 混合相变材料砂浆，形成连续保温蓄热体系；与外窗衔接处，窗框外侧采用密封胶密封，内侧抹相变材料砂浆至窗框边缘，避免热桥。</w:t>
      </w:r>
    </w:p>
    <w:p w14:paraId="39A5E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bookmarkStart w:id="8" w:name="_Toc20422"/>
      <w:bookmarkStart w:id="9" w:name="_Toc32587"/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5. 材料参数表</w:t>
      </w:r>
      <w:bookmarkEnd w:id="8"/>
      <w:bookmarkEnd w:id="9"/>
    </w:p>
    <w:p w14:paraId="4141F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theme="minorEastAsia"/>
          <w:b/>
          <w:bCs/>
          <w:sz w:val="28"/>
          <w:szCs w:val="28"/>
          <w:lang w:val="en-US" w:eastAsia="zh-CN"/>
        </w:rPr>
        <w:t>外墙填充墙</w:t>
      </w:r>
    </w:p>
    <w:p w14:paraId="7977AC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default" w:ascii="Times New Roman" w:hAnsi="Times New Roman" w:cstheme="minorEastAsia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408930" cy="829310"/>
            <wp:effectExtent l="0" t="0" r="1270" b="8890"/>
            <wp:docPr id="1" name="图片 1" descr="dd156462938ecc185c2c6c9ececa3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156462938ecc185c2c6c9ececa31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E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theme="minorEastAsia"/>
          <w:b/>
          <w:bCs/>
          <w:sz w:val="28"/>
          <w:szCs w:val="28"/>
          <w:lang w:val="en-US" w:eastAsia="zh-CN"/>
        </w:rPr>
        <w:t>外墙剪力墙</w:t>
      </w:r>
    </w:p>
    <w:p w14:paraId="117114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default" w:ascii="Times New Roman" w:hAnsi="Times New Roman" w:cstheme="minorEastAsia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358130" cy="824230"/>
            <wp:effectExtent l="0" t="0" r="1270" b="1270"/>
            <wp:docPr id="2" name="图片 2" descr="41bd6d8dc136ee85a42752d8ca54c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bd6d8dc136ee85a42752d8ca54c4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E81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theme="minorEastAsia"/>
          <w:b/>
          <w:bCs/>
          <w:sz w:val="28"/>
          <w:szCs w:val="28"/>
          <w:lang w:val="en-US" w:eastAsia="zh-CN"/>
        </w:rPr>
        <w:t>内围护结构</w:t>
      </w:r>
    </w:p>
    <w:p w14:paraId="7ADF81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0"/>
        <w:rPr>
          <w:rFonts w:hint="default" w:ascii="Times New Roman" w:hAnsi="Times New Roman" w:cstheme="minorEastAsia"/>
          <w:b/>
          <w:bCs/>
          <w:sz w:val="30"/>
          <w:szCs w:val="30"/>
          <w:lang w:val="en-US" w:eastAsia="zh-CN"/>
        </w:rPr>
      </w:pPr>
      <w:r>
        <w:rPr>
          <w:rFonts w:hint="default" w:ascii="Times New Roman" w:hAnsi="Times New Roman" w:cstheme="minorEastAsia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370830" cy="718820"/>
            <wp:effectExtent l="0" t="0" r="1270" b="5080"/>
            <wp:docPr id="3" name="图片 3" descr="c350f0c12af27d36e132afdf3d2a3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350f0c12af27d36e132afdf3d2a3c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BCD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bookmarkStart w:id="10" w:name="_Toc5938"/>
      <w:bookmarkStart w:id="11" w:name="_Toc31672"/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6. 性能仿真验证数据</w:t>
      </w:r>
      <w:bookmarkEnd w:id="10"/>
      <w:bookmarkEnd w:id="11"/>
    </w:p>
    <w:p w14:paraId="1E4A94BF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6.1 仿真软件与参数设置</w:t>
      </w:r>
    </w:p>
    <w:p w14:paraId="645D22AC">
      <w:pPr>
        <w:numPr>
          <w:ilvl w:val="0"/>
          <w:numId w:val="6"/>
        </w:numPr>
        <w:ind w:left="420" w:leftChars="0" w:hanging="420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仿真软件：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节能设计 BECS2024（版本 20240730 (SP2)），研发单位北京绿建软件股份有限公司，正版授权码 T15127844857</w:t>
      </w:r>
    </w:p>
    <w:p w14:paraId="4D0E4C14">
      <w:pPr>
        <w:numPr>
          <w:ilvl w:val="0"/>
          <w:numId w:val="6"/>
        </w:numPr>
        <w:ind w:left="420" w:leftChars="0" w:hanging="420" w:firstLineChars="0"/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仿真参数：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建筑气候分区为寒冷 B 区，室内设计温度冬季 20℃、夏季 26℃，室外气象参数采用北京地区典型年气象数据</w:t>
      </w:r>
    </w:p>
    <w:p w14:paraId="29CDCE1A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6.2 热工性能仿真结果</w:t>
      </w:r>
    </w:p>
    <w:tbl>
      <w:tblPr>
        <w:tblStyle w:val="3"/>
        <w:tblW w:w="9078" w:type="dxa"/>
        <w:tblInd w:w="-225" w:type="dxa"/>
        <w:tblBorders>
          <w:top w:val="none" w:color="auto" w:sz="0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87"/>
        <w:gridCol w:w="570"/>
        <w:gridCol w:w="4099"/>
        <w:gridCol w:w="1022"/>
      </w:tblGrid>
      <w:tr w14:paraId="33314350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5B51E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仿真指标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A8151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数值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C4AA5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标准要求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DCE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结论</w:t>
            </w:r>
          </w:p>
        </w:tc>
      </w:tr>
      <w:tr w14:paraId="0F8543AD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DEB67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墙体传热系数 K（W/(㎡・K)）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BC1AE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0.299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A19A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K≤0.50（GB55015-2021 第 3.1.10 条）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0DB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满足</w:t>
            </w:r>
          </w:p>
        </w:tc>
      </w:tr>
      <w:tr w14:paraId="3B526592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A3CC9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热惰性指标 D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D763E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6.063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33F31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无强制限值，与保温层协同优化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B469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优秀</w:t>
            </w:r>
          </w:p>
        </w:tc>
      </w:tr>
      <w:tr w14:paraId="65CA63FF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84F47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太阳辐射吸收系数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262D5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0.75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664B35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符合常规外墙材料要求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30CE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满足</w:t>
            </w:r>
          </w:p>
        </w:tc>
      </w:tr>
      <w:tr w14:paraId="0C3D5FEF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D084E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冬季传热耗热量（W/㎡）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5BD39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2.99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3AB03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低于规范限值 3.5W/㎡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E79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满足</w:t>
            </w:r>
          </w:p>
        </w:tc>
      </w:tr>
      <w:tr w14:paraId="72865ACA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387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074D6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夏季传热得热量（W/㎡）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B3295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3.28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B751B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低于规范限值 4.0W/㎡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7F2A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满足</w:t>
            </w:r>
          </w:p>
        </w:tc>
      </w:tr>
    </w:tbl>
    <w:p w14:paraId="1D0AB69F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6.3 室内热环境仿真结果</w:t>
      </w:r>
    </w:p>
    <w:p w14:paraId="6D791A9B">
      <w:pPr>
        <w:rPr>
          <w:rFonts w:hint="eastAsia" w:ascii="Times New Roman" w:hAnsi="Times New Roman" w:eastAsiaTheme="minorEastAsia" w:cstheme="minorEastAsia"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sz w:val="28"/>
          <w:szCs w:val="28"/>
        </w:rPr>
        <w:t>采用 DeST 软件进行室内热环境数值模拟，结果如下：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15"/>
        <w:gridCol w:w="2574"/>
        <w:gridCol w:w="3022"/>
        <w:gridCol w:w="2025"/>
      </w:tblGrid>
      <w:tr w14:paraId="32059558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E090A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季节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4E2BD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室内温度波动范围（℃）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A921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常规墙体温度波动范围（℃）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CB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优化效果</w:t>
            </w:r>
          </w:p>
        </w:tc>
      </w:tr>
      <w:tr w14:paraId="3DBEC3EA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8945E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冬季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394A2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18.5-21.2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780C4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16.8-22.5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782A1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波动幅度降低 1.8℃</w:t>
            </w:r>
          </w:p>
        </w:tc>
      </w:tr>
      <w:tr w14:paraId="1AE2EA6D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79E58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夏季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ADAB5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24.3-27.1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AF89B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23.5-28.3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2E1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波动幅度降低 1.4℃</w:t>
            </w:r>
          </w:p>
        </w:tc>
      </w:tr>
      <w:tr w14:paraId="2F57D297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79EEC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过渡季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463FF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20.8-24.5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C7726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19.6-25.8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9209D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波动幅度降低 1.3℃</w:t>
            </w:r>
          </w:p>
        </w:tc>
      </w:tr>
    </w:tbl>
    <w:p w14:paraId="2EC8B9F6">
      <w:pP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6.4 节能效益仿真结果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single" w:color="auto" w:sz="2" w:space="0"/>
          <w:bottom w:val="single" w:color="auto" w:sz="2" w:space="0"/>
          <w:right w:val="single" w:color="auto" w:sz="2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30"/>
        <w:gridCol w:w="512"/>
        <w:gridCol w:w="1717"/>
        <w:gridCol w:w="753"/>
      </w:tblGrid>
      <w:tr w14:paraId="4030A04D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732C2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bookmarkStart w:id="12" w:name="_Toc11018"/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仿真指标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81AA1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数值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58FB0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常规墙体对比值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F6CB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节能率</w:t>
            </w:r>
          </w:p>
        </w:tc>
      </w:tr>
      <w:tr w14:paraId="1E4ECEF0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7B765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年采暖能耗（kWh/㎡）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9C0454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A928F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24.8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0BE3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25.0%</w:t>
            </w:r>
          </w:p>
        </w:tc>
      </w:tr>
      <w:tr w14:paraId="0EE62862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14C4D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年制冷能耗（kWh/㎡）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E5AB8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47563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16.4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DB22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25.0%</w:t>
            </w:r>
          </w:p>
        </w:tc>
      </w:tr>
      <w:tr w14:paraId="4F8218E1">
        <w:tblPrEx>
          <w:tblBorders>
            <w:top w:val="none" w:color="auto" w:sz="0" w:space="0"/>
            <w:left w:val="single" w:color="auto" w:sz="2" w:space="0"/>
            <w:bottom w:val="single" w:color="auto" w:sz="2" w:space="0"/>
            <w:right w:val="single" w:color="auto" w:sz="2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81E8C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年总能耗（kWh/㎡）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37990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30.9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DFAEA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41.2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656C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center"/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lang w:val="en-US" w:eastAsia="zh-CN" w:bidi="ar"/>
              </w:rPr>
              <w:t>25.0%</w:t>
            </w:r>
          </w:p>
        </w:tc>
      </w:tr>
    </w:tbl>
    <w:p w14:paraId="789ACC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</w:pPr>
      <w:r>
        <w:rPr>
          <w:rFonts w:hint="eastAsia" w:ascii="Times New Roman" w:hAnsi="Times New Roman" w:eastAsiaTheme="minorEastAsia" w:cstheme="minorEastAsia"/>
          <w:b/>
          <w:bCs/>
          <w:sz w:val="30"/>
          <w:szCs w:val="30"/>
        </w:rPr>
        <w:t>7. 技术落地可能性结论</w:t>
      </w:r>
      <w:bookmarkEnd w:id="12"/>
    </w:p>
    <w:p w14:paraId="30840E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bookmarkStart w:id="13" w:name="_Toc17356"/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7.1 技术逻辑验证</w:t>
      </w:r>
      <w:bookmarkEnd w:id="13"/>
    </w:p>
    <w:p w14:paraId="15049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Times New Roman" w:hAnsi="Times New Roman" w:eastAsiaTheme="minorEastAsia" w:cstheme="minorEastAsia"/>
          <w:sz w:val="28"/>
          <w:szCs w:val="28"/>
        </w:rPr>
      </w:pPr>
      <w:bookmarkStart w:id="14" w:name="_Toc2009"/>
      <w:r>
        <w:rPr>
          <w:rFonts w:hint="eastAsia" w:ascii="Times New Roman" w:hAnsi="Times New Roman" w:eastAsiaTheme="minorEastAsia" w:cstheme="minorEastAsia"/>
          <w:sz w:val="28"/>
          <w:szCs w:val="28"/>
        </w:rPr>
        <w:t>混合相变材料在建筑外墙填充墙节点的应用，通过 “保温层阻断传热 + 相变材料调节蓄热” 的技术逻辑，实现了围护结构热工性能的优化。仿真数据表明，该技术可有效降低室内温度波动，提升热舒适度，同时降低建筑采暖制冷能耗 25%，符合绿色建筑节能要求。材料参数、施工工艺均满足现有规范与工程实践要求，技术逻辑清晰可行。</w:t>
      </w:r>
      <w:bookmarkEnd w:id="14"/>
    </w:p>
    <w:p w14:paraId="4E0FF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</w:pPr>
      <w:bookmarkStart w:id="15" w:name="_Toc12067"/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7.2 落地可能性分析</w:t>
      </w:r>
      <w:bookmarkEnd w:id="15"/>
    </w:p>
    <w:p w14:paraId="7659F692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outlineLvl w:val="0"/>
        <w:rPr>
          <w:rFonts w:hint="eastAsia" w:ascii="Times New Roman" w:hAnsi="Times New Roman" w:eastAsiaTheme="minorEastAsia" w:cstheme="minorEastAsia"/>
          <w:sz w:val="28"/>
          <w:szCs w:val="28"/>
        </w:rPr>
      </w:pPr>
      <w:bookmarkStart w:id="16" w:name="_Toc17315"/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材料供应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：混合相变材料砂浆、混凝土已实现工业化生产，可通过现有建材供应商批量采购，供应稳定。</w:t>
      </w:r>
      <w:bookmarkEnd w:id="16"/>
    </w:p>
    <w:p w14:paraId="47A76FFD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outlineLvl w:val="0"/>
        <w:rPr>
          <w:rFonts w:hint="eastAsia" w:ascii="Times New Roman" w:hAnsi="Times New Roman" w:eastAsiaTheme="minorEastAsia" w:cstheme="minorEastAsia"/>
          <w:sz w:val="28"/>
          <w:szCs w:val="28"/>
        </w:rPr>
      </w:pPr>
      <w:bookmarkStart w:id="17" w:name="_Toc30974"/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施工落地：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施工工艺与常规墙体施工一致，无需新增设备与技术人员，可直接融入现有施工流程，落地难度低。</w:t>
      </w:r>
      <w:bookmarkEnd w:id="17"/>
    </w:p>
    <w:p w14:paraId="5F0E72FC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outlineLvl w:val="0"/>
        <w:rPr>
          <w:rFonts w:hint="eastAsia" w:ascii="Times New Roman" w:hAnsi="Times New Roman" w:eastAsiaTheme="minorEastAsia" w:cstheme="minorEastAsia"/>
          <w:sz w:val="28"/>
          <w:szCs w:val="28"/>
        </w:rPr>
      </w:pPr>
      <w:bookmarkStart w:id="18" w:name="_Toc2695"/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成本落地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：虽然相变材料单价高于常规材料，但通过节能效益测算，项目运营 5-6 年即可回收材料价差，全生命周期成本优势显著。</w:t>
      </w:r>
      <w:bookmarkEnd w:id="18"/>
    </w:p>
    <w:p w14:paraId="2D71D2E3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5" w:leftChars="0" w:hanging="425" w:firstLineChars="0"/>
        <w:textAlignment w:val="auto"/>
        <w:outlineLvl w:val="0"/>
        <w:rPr>
          <w:rFonts w:hint="eastAsia" w:ascii="Times New Roman" w:hAnsi="Times New Roman" w:eastAsiaTheme="minorEastAsia" w:cstheme="minorEastAsia"/>
          <w:sz w:val="28"/>
          <w:szCs w:val="28"/>
        </w:rPr>
      </w:pPr>
      <w:bookmarkStart w:id="19" w:name="_Toc25232"/>
      <w:r>
        <w:rPr>
          <w:rFonts w:hint="eastAsia" w:ascii="Times New Roman" w:hAnsi="Times New Roman" w:eastAsiaTheme="minorEastAsia" w:cstheme="minorEastAsia"/>
          <w:b/>
          <w:bCs/>
          <w:sz w:val="28"/>
          <w:szCs w:val="28"/>
        </w:rPr>
        <w:t>规范适配：</w:t>
      </w:r>
      <w:r>
        <w:rPr>
          <w:rFonts w:hint="eastAsia" w:ascii="Times New Roman" w:hAnsi="Times New Roman" w:eastAsiaTheme="minorEastAsia" w:cstheme="minorEastAsia"/>
          <w:sz w:val="28"/>
          <w:szCs w:val="28"/>
        </w:rPr>
        <w:t>所有性能指标均满足《建筑节能与可再生能源利用通用规范》GB55015-2021、《公共建筑节能设计标准》GB50189-2015 等相关规范要求，可通过节能审查与工程验收。</w:t>
      </w:r>
      <w:bookmarkEnd w:id="19"/>
    </w:p>
    <w:p w14:paraId="58C843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Times New Roman" w:hAnsi="Times New Roman" w:eastAsiaTheme="minorEastAsia" w:cstheme="minorEastAsia"/>
          <w:sz w:val="28"/>
          <w:szCs w:val="28"/>
        </w:rPr>
      </w:pPr>
      <w:bookmarkStart w:id="20" w:name="_Toc4154"/>
      <w:r>
        <w:rPr>
          <w:rFonts w:hint="eastAsia" w:ascii="Times New Roman" w:hAnsi="Times New Roman" w:eastAsiaTheme="minorEastAsia" w:cstheme="minorEastAsia"/>
          <w:sz w:val="28"/>
          <w:szCs w:val="28"/>
        </w:rPr>
        <w:t>综上，混合相变材料在综合楼外墙填充墙节点的应用，技术可行、多专业适配性良好，性能仿真数据验证充分，具备实际工程落地条件，可为建筑绿色节能提供有效解决方案。</w:t>
      </w:r>
      <w:bookmarkEnd w:id="20"/>
    </w:p>
    <w:p w14:paraId="443A1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 w:ascii="Times New Roman" w:hAnsi="Times New Roman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F4061B"/>
    <w:multiLevelType w:val="singleLevel"/>
    <w:tmpl w:val="8DF4061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CAF190B"/>
    <w:multiLevelType w:val="singleLevel"/>
    <w:tmpl w:val="9CAF190B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1CA6F64"/>
    <w:multiLevelType w:val="singleLevel"/>
    <w:tmpl w:val="B1CA6F64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CAD1FF3E"/>
    <w:multiLevelType w:val="singleLevel"/>
    <w:tmpl w:val="CAD1FF3E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F04605DD"/>
    <w:multiLevelType w:val="singleLevel"/>
    <w:tmpl w:val="F04605D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F51EDA42"/>
    <w:multiLevelType w:val="singleLevel"/>
    <w:tmpl w:val="F51EDA42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4A92DB45"/>
    <w:multiLevelType w:val="singleLevel"/>
    <w:tmpl w:val="4A92DB45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8D6A31"/>
    <w:rsid w:val="058D6A31"/>
    <w:rsid w:val="0CF958AF"/>
    <w:rsid w:val="4D064B50"/>
    <w:rsid w:val="5797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3370</Words>
  <Characters>3896</Characters>
  <Lines>0</Lines>
  <Paragraphs>0</Paragraphs>
  <TotalTime>6</TotalTime>
  <ScaleCrop>false</ScaleCrop>
  <LinksUpToDate>false</LinksUpToDate>
  <CharactersWithSpaces>4065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2026-01-01T09:03:00Z</dcterms:created>
  <dc:creator>夏</dc:creator>
  <cp:lastModifiedBy>pxy</cp:lastModifiedBy>
  <dcterms:modified xsi:type="dcterms:W3CDTF">2026-01-03T00:14:29Z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56793F159CB2477583604EAEF30F59C5_11</vt:lpwstr>
  </property>
  <property fmtid="{D5CDD505-2E9C-101B-9397-08002B2CF9AE}" pid="4" name="KSOTemplateDocerSaveRecord">
    <vt:lpwstr>eyJoZGlkIjoiMTVjOTk1ZGQ4ZDIyYWI4MTc4NTNjZDNhZDY2OTdjNzEiLCJ1c2VySWQiOiIxMDQ3MzE4NjY2In0=</vt:lpwstr>
  </property>
</Properties>
</file>