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3C37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41195"/>
            <wp:effectExtent l="0" t="0" r="6350" b="9525"/>
            <wp:docPr id="3" name="图片 3" descr="2d67088f54ce6678aef58695a967a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67088f54ce6678aef58695a967a6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955290"/>
            <wp:effectExtent l="0" t="0" r="13970" b="1270"/>
            <wp:docPr id="2" name="图片 2" descr="fef3718513bb0f10d7d64134e6cb0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f3718513bb0f10d7d64134e6cb00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66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547495"/>
            <wp:effectExtent l="0" t="0" r="0" b="0"/>
            <wp:docPr id="1" name="图片 1" descr="ffd7ba70cd0a141b1aef77ab7043a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d7ba70cd0a141b1aef77ab7043a31d"/>
                    <pic:cNvPicPr>
                      <a:picLocks noChangeAspect="1"/>
                    </pic:cNvPicPr>
                  </pic:nvPicPr>
                  <pic:blipFill>
                    <a:blip r:embed="rId6"/>
                    <a:srcRect l="24" t="163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07C5">
      <w:pPr>
        <w:rPr>
          <w:rFonts w:hint="eastAsia" w:eastAsiaTheme="minorEastAsia"/>
          <w:lang w:eastAsia="zh-CN"/>
        </w:rPr>
      </w:pPr>
    </w:p>
    <w:p w14:paraId="1E221A13"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通过施工节水、节材、节能、智能施工等技术应用，以及将可以再生利用的固体废弃物加工生产为建筑可再生材料，应用于园区的墙体砌筑、停车、景观小品等场景，达到施工降碳目的。采用的低碳混凝土、高延性山砂混凝土、M60III型灌浆料等结构加固材料，碳排放量较常规材料可降低66%~88%。</w:t>
      </w:r>
    </w:p>
    <w:p w14:paraId="7723EACF">
      <w:pPr>
        <w:ind w:firstLine="420" w:firstLineChars="200"/>
        <w:rPr>
          <w:rFonts w:hint="eastAsia" w:eastAsiaTheme="minorEastAsia"/>
          <w:lang w:eastAsia="zh-CN"/>
        </w:rPr>
      </w:pPr>
    </w:p>
    <w:p w14:paraId="7D0D9B7B">
      <w:pPr>
        <w:ind w:firstLine="420" w:firstLineChars="200"/>
        <w:rPr>
          <w:rFonts w:hint="eastAsia" w:eastAsiaTheme="minorEastAsia"/>
          <w:lang w:eastAsia="zh-CN"/>
        </w:rPr>
      </w:pPr>
    </w:p>
    <w:p w14:paraId="50BEBDCB">
      <w:pPr>
        <w:ind w:firstLine="420" w:firstLineChars="200"/>
        <w:rPr>
          <w:rFonts w:hint="eastAsia" w:eastAsiaTheme="minorEastAsia"/>
          <w:lang w:eastAsia="zh-CN"/>
        </w:rPr>
      </w:pPr>
    </w:p>
    <w:p w14:paraId="55A85258">
      <w:pPr>
        <w:ind w:firstLine="420" w:firstLineChars="200"/>
        <w:rPr>
          <w:rFonts w:hint="eastAsia" w:eastAsiaTheme="minorEastAsia"/>
          <w:lang w:eastAsia="zh-CN"/>
        </w:rPr>
      </w:pPr>
    </w:p>
    <w:p w14:paraId="4BC27495">
      <w:pPr>
        <w:ind w:firstLine="420" w:firstLineChars="200"/>
        <w:rPr>
          <w:rFonts w:hint="eastAsia" w:eastAsiaTheme="minorEastAsia"/>
          <w:lang w:eastAsia="zh-CN"/>
        </w:rPr>
      </w:pPr>
    </w:p>
    <w:p w14:paraId="5E5024D7">
      <w:pPr>
        <w:ind w:firstLine="420" w:firstLineChars="200"/>
        <w:rPr>
          <w:rFonts w:hint="eastAsia" w:eastAsiaTheme="minorEastAsia"/>
          <w:lang w:eastAsia="zh-CN"/>
        </w:rPr>
      </w:pPr>
    </w:p>
    <w:p w14:paraId="7B9EE81D"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绿色技术应用说明——光伏建筑一体化（BIPV）技术</w:t>
      </w:r>
    </w:p>
    <w:p w14:paraId="46D11793">
      <w:pPr>
        <w:spacing w:before="380" w:after="140" w:line="288" w:lineRule="auto"/>
        <w:ind w:left="0"/>
        <w:jc w:val="left"/>
        <w:outlineLvl w:val="0"/>
      </w:pPr>
      <w:bookmarkStart w:id="0" w:name="heading_0"/>
      <w:r>
        <w:rPr>
          <w:rFonts w:ascii="Arial" w:hAnsi="Arial" w:eastAsia="等线" w:cs="Arial"/>
          <w:b/>
          <w:sz w:val="36"/>
        </w:rPr>
        <w:t>一、技术概述</w:t>
      </w:r>
      <w:bookmarkEnd w:id="0"/>
    </w:p>
    <w:p w14:paraId="1BF2A172">
      <w:pPr>
        <w:spacing w:before="120" w:after="120" w:line="288" w:lineRule="auto"/>
        <w:ind w:left="0" w:firstLine="440" w:firstLineChars="200"/>
        <w:jc w:val="left"/>
      </w:pPr>
      <w:r>
        <w:rPr>
          <w:rFonts w:ascii="Arial" w:hAnsi="Arial" w:eastAsia="等线" w:cs="Arial"/>
          <w:sz w:val="22"/>
        </w:rPr>
        <w:t>本次选用“光伏建筑一体化（Building-Integrated Photovoltaics，简称BIPV）技术+低碳建材”的组合绿色技术方案，其中BIPV技术是将光伏组件与建筑围护结构（屋面、墙面等）深度融合的新型绿色能源技术，同时搭配低碳混凝土、磷石膏制品等低碳建材，形成“能源低碳+材料低碳”的双重绿色效应。与传统光伏系统“附加式”安装及常规建材应用不同，BIPV组件兼具发电与建筑围护功能（防水、保温、装饰等），低碳建材则通过固废利用等技术实现碳排放大幅降低（较常规材料降碳66%~88%），均属于绿色建筑领域核心新技术。本次应用选用高效异质结（HJT）光伏组件，转换效率可达24%-26%，较传统晶硅组件提升3-5个百分点，且具备弱光响应好、温度系数低、外观整洁等优势，与低碳建材协同适配建筑的技术要求、艺术表达及降碳目标。</w:t>
      </w:r>
    </w:p>
    <w:p w14:paraId="73AA5F4C">
      <w:pPr>
        <w:spacing w:before="380" w:after="140" w:line="288" w:lineRule="auto"/>
        <w:ind w:left="0"/>
        <w:jc w:val="left"/>
        <w:outlineLvl w:val="0"/>
      </w:pPr>
      <w:bookmarkStart w:id="1" w:name="heading_1"/>
      <w:r>
        <w:rPr>
          <w:rFonts w:ascii="Arial" w:hAnsi="Arial" w:eastAsia="等线" w:cs="Arial"/>
          <w:b/>
          <w:sz w:val="36"/>
        </w:rPr>
        <w:t>二、技术可行性与多专业适配性分析</w:t>
      </w:r>
      <w:bookmarkEnd w:id="1"/>
    </w:p>
    <w:p w14:paraId="01BC7A96">
      <w:pPr>
        <w:spacing w:before="320" w:after="120" w:line="288" w:lineRule="auto"/>
        <w:ind w:left="0"/>
        <w:jc w:val="left"/>
        <w:outlineLvl w:val="1"/>
      </w:pPr>
      <w:bookmarkStart w:id="2" w:name="heading_2"/>
      <w:r>
        <w:rPr>
          <w:rFonts w:ascii="Arial" w:hAnsi="Arial" w:eastAsia="等线" w:cs="Arial"/>
          <w:b/>
          <w:sz w:val="32"/>
        </w:rPr>
        <w:t>（一）技术可行性</w:t>
      </w:r>
      <w:bookmarkEnd w:id="2"/>
    </w:p>
    <w:p w14:paraId="6E92DAC8">
      <w:pPr>
        <w:numPr>
          <w:ilvl w:val="0"/>
          <w:numId w:val="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组件技术成熟</w:t>
      </w:r>
      <w:r>
        <w:rPr>
          <w:rFonts w:ascii="Arial" w:hAnsi="Arial" w:eastAsia="等线" w:cs="Arial"/>
          <w:sz w:val="22"/>
        </w:rPr>
        <w:t>：HJT光伏组件经过多年技术迭代，已实现规模化生产，产品稳定性、耐久性均通过GB/T 9535-2018《地面用晶体硅光伏组件 设计鉴定和定型》等国家标准认证，正常使用寿命可达25年，与建筑主体结构使用寿命匹配。</w:t>
      </w:r>
    </w:p>
    <w:p w14:paraId="20699522">
      <w:pPr>
        <w:numPr>
          <w:ilvl w:val="0"/>
          <w:numId w:val="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施工工艺可控</w:t>
      </w:r>
      <w:r>
        <w:rPr>
          <w:rFonts w:ascii="Arial" w:hAnsi="Arial" w:eastAsia="等线" w:cs="Arial"/>
          <w:sz w:val="22"/>
        </w:rPr>
        <w:t>：BIPV系统采用模块化安装方式，组件之间通过专用连接件固定，配合密封胶、防水卷材等辅材，可实现与建筑围护结构的无缝衔接，施工流程清晰，技术门槛可控，现有建筑施工团队经简单培训即可胜任。</w:t>
      </w:r>
    </w:p>
    <w:p w14:paraId="6CC20D4D">
      <w:pPr>
        <w:numPr>
          <w:ilvl w:val="0"/>
          <w:numId w:val="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运维成本低廉</w:t>
      </w:r>
      <w:r>
        <w:rPr>
          <w:rFonts w:ascii="Arial" w:hAnsi="Arial" w:eastAsia="等线" w:cs="Arial"/>
          <w:sz w:val="22"/>
        </w:rPr>
        <w:t>：HJT组件无隐裂风险，运维需求低；系统配备智能监控平台，可实时监测发电状态，故障定位精准，后期运维仅需定期清洁（每年1-2次），运维成本约为传统光伏系统的60%。同时，配套选用的低碳建材多基于固废利用生产，材质稳定性强，后期部件更换率较常规材料降低15%以上，进一步降低全生命周期运维成本。</w:t>
      </w:r>
    </w:p>
    <w:p w14:paraId="2FC5007D">
      <w:pPr>
        <w:spacing w:before="320" w:after="120" w:line="288" w:lineRule="auto"/>
        <w:ind w:left="0"/>
        <w:jc w:val="left"/>
        <w:outlineLvl w:val="1"/>
      </w:pPr>
      <w:bookmarkStart w:id="3" w:name="heading_3"/>
      <w:r>
        <w:rPr>
          <w:rFonts w:ascii="Arial" w:hAnsi="Arial" w:eastAsia="等线" w:cs="Arial"/>
          <w:b/>
          <w:sz w:val="32"/>
        </w:rPr>
        <w:t>（二）多专业适配性</w:t>
      </w:r>
      <w:bookmarkEnd w:id="3"/>
    </w:p>
    <w:p w14:paraId="7EA29A43">
      <w:pPr>
        <w:numPr>
          <w:ilvl w:val="0"/>
          <w:numId w:val="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与建筑艺术的适配性</w:t>
      </w:r>
      <w:r>
        <w:rPr>
          <w:rFonts w:ascii="Arial" w:hAnsi="Arial" w:eastAsia="等线" w:cs="Arial"/>
          <w:sz w:val="22"/>
        </w:rPr>
        <w:t>：BIPV组件可根据建筑设计需求定制颜色（黑、灰、蓝等）、尺寸及外观纹理，本次项目选用深灰色半透明HJT组件，搭配建筑外立面的极简风格，形成统一的视觉效果。屋面及南立面的组件排列采用矩阵式设计，既保证发电效率，又形成规整的建筑肌理，提升建筑的科技感与美学价值，避免了传统光伏组件“突兀式”安装对建筑外观的破坏。</w:t>
      </w:r>
    </w:p>
    <w:p w14:paraId="37CF5D85">
      <w:pPr>
        <w:numPr>
          <w:ilvl w:val="0"/>
          <w:numId w:val="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与建筑结构专业的适配性</w:t>
      </w:r>
      <w:r>
        <w:rPr>
          <w:rFonts w:ascii="Arial" w:hAnsi="Arial" w:eastAsia="等线" w:cs="Arial"/>
          <w:sz w:val="22"/>
        </w:rPr>
        <w:t>：HJT组件单块重量约12kg/㎡，远低于传统屋面瓦（约30kg/㎡）；配套采用的C30低碳混凝土、高延性山砂混凝土等材料，在保证强度达标（抗压强度≥30MPa）的前提下，容重较常规混凝土降低5%~10%，双重减负使屋面结构荷载显著降低。组件与低碳混凝土屋面板通过专用连接件固定，连接件与屋面板的连接强度经结构计算验证，可承受当地50年一遇的风荷载（0.7kN/㎡）及雪荷载（0.5kN/㎡），不会对建筑结构安全造成影响。</w:t>
      </w:r>
    </w:p>
    <w:p w14:paraId="363DC0A5">
      <w:pPr>
        <w:numPr>
          <w:ilvl w:val="0"/>
          <w:numId w:val="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与建筑热工专业的适配性</w:t>
      </w:r>
      <w:r>
        <w:rPr>
          <w:rFonts w:ascii="Arial" w:hAnsi="Arial" w:eastAsia="等线" w:cs="Arial"/>
          <w:sz w:val="22"/>
        </w:rPr>
        <w:t>：BIPV组件与屋面基层之间预留100mm通风间隙，形成自然通风通道，可有效降低组件工作温度（降低5-8℃），提升发电效率；同时，通风层配合屋面保温层（选用磷石膏基保温板，厚度50mm，导热系数≤0.026W/(m·K)）及低碳混凝土屋面板的低热传导特性，使屋面传热系数降至0.28W/(㎡·K)，较常规构造进一步降低6.7%，远超《民用建筑热工设计规范》（GB 50176-2016）中严寒地区屋面保温要求。</w:t>
      </w:r>
    </w:p>
    <w:p w14:paraId="05DFEC12">
      <w:pPr>
        <w:numPr>
          <w:ilvl w:val="0"/>
          <w:numId w:val="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与建筑电气专业的适配性</w:t>
      </w:r>
      <w:r>
        <w:rPr>
          <w:rFonts w:ascii="Arial" w:hAnsi="Arial" w:eastAsia="等线" w:cs="Arial"/>
          <w:sz w:val="22"/>
        </w:rPr>
        <w:t>：BIPV系统采用“分布式发电+并网计量”模式，组件产生的直流电经逆变器转换为220V交流电，接入建筑内部配电系统。系统配备防逆流装置、防雷接地装置及智能计量表，可实现与建筑原有电气系统的无缝对接，且符合《建筑设计防火规范》（GB 50016-2014）中电气安全要求。</w:t>
      </w:r>
    </w:p>
    <w:p w14:paraId="3E715CB8">
      <w:pPr>
        <w:spacing w:before="380" w:after="140" w:line="288" w:lineRule="auto"/>
        <w:ind w:left="0"/>
        <w:jc w:val="left"/>
        <w:outlineLvl w:val="0"/>
      </w:pPr>
      <w:bookmarkStart w:id="4" w:name="heading_4"/>
      <w:r>
        <w:rPr>
          <w:rFonts w:ascii="Arial" w:hAnsi="Arial" w:eastAsia="等线" w:cs="Arial"/>
          <w:b/>
          <w:sz w:val="36"/>
        </w:rPr>
        <w:t>三、关键建筑节点技术融入措施（屋面节点）</w:t>
      </w:r>
      <w:bookmarkEnd w:id="4"/>
    </w:p>
    <w:p w14:paraId="73ADAFA0">
      <w:pPr>
        <w:spacing w:before="120" w:after="120" w:line="288" w:lineRule="auto"/>
        <w:ind w:left="0" w:firstLine="440" w:firstLineChars="200"/>
        <w:jc w:val="left"/>
      </w:pPr>
      <w:bookmarkStart w:id="19" w:name="_GoBack"/>
      <w:bookmarkEnd w:id="19"/>
      <w:r>
        <w:rPr>
          <w:rFonts w:ascii="Arial" w:hAnsi="Arial" w:eastAsia="等线" w:cs="Arial"/>
          <w:sz w:val="22"/>
        </w:rPr>
        <w:t>本次选取建筑屋面女儿墙附近节点作为核心节点，该节点是屋面防水、保温、结构承重及BIPV组件安装的关键交汇点，其技术融入质量直接影响整个系统的稳定性与安全性。</w:t>
      </w:r>
    </w:p>
    <w:p w14:paraId="542ED011">
      <w:pPr>
        <w:spacing w:before="320" w:after="120" w:line="288" w:lineRule="auto"/>
        <w:ind w:left="0"/>
        <w:jc w:val="left"/>
        <w:outlineLvl w:val="1"/>
      </w:pPr>
      <w:bookmarkStart w:id="5" w:name="heading_5"/>
      <w:r>
        <w:rPr>
          <w:rFonts w:ascii="Arial" w:hAnsi="Arial" w:eastAsia="等线" w:cs="Arial"/>
          <w:b/>
          <w:sz w:val="32"/>
        </w:rPr>
        <w:t>（一）节点构造层次（从下至上）</w:t>
      </w:r>
      <w:bookmarkEnd w:id="5"/>
    </w:p>
    <w:p w14:paraId="376096F3">
      <w:pPr>
        <w:numPr>
          <w:ilvl w:val="0"/>
          <w:numId w:val="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结构层：C30低碳混凝土屋面板（厚度120mm），基于固废利用技术生产，碳排放因子较常规C30混凝土降低66%，强度等级达标，表面平整，坡度2%（便于排水）。</w:t>
      </w:r>
    </w:p>
    <w:p w14:paraId="5E1CE87A">
      <w:pPr>
        <w:numPr>
          <w:ilvl w:val="0"/>
          <w:numId w:val="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找平层：磷石膏自流平（厚度20mm），替代传统水泥砂浆，碳排放降低79%，表面平整度高，阴阳角做圆弧处理（半径50mm）。</w:t>
      </w:r>
    </w:p>
    <w:p w14:paraId="0213745A">
      <w:pPr>
        <w:numPr>
          <w:ilvl w:val="0"/>
          <w:numId w:val="1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防水层：双层SBS改性沥青防水卷材（厚度4mm+3mm），采用热熔法施工，卷材搭接宽度≥100mm，女儿墙根部向上翻边高度≥500mm。</w:t>
      </w:r>
    </w:p>
    <w:p w14:paraId="0006E427">
      <w:pPr>
        <w:numPr>
          <w:ilvl w:val="0"/>
          <w:numId w:val="1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保温层：磷石膏基保温板（厚度50mm），导热系数≤0.026W/(m·K)，采用点粘法固定，板缝采用聚氨酯发泡剂填充，较挤塑聚苯板碳排放降低60%。</w:t>
      </w:r>
    </w:p>
    <w:p w14:paraId="0B864364">
      <w:pPr>
        <w:numPr>
          <w:ilvl w:val="0"/>
          <w:numId w:val="1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隔离层：聚乙烯薄膜（厚度0.5mm），铺设平整，无破损，用于隔离保温层与保护层。</w:t>
      </w:r>
    </w:p>
    <w:p w14:paraId="1AA808C1">
      <w:pPr>
        <w:numPr>
          <w:ilvl w:val="0"/>
          <w:numId w:val="1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支撑层：镀锌钢檩条（型号C160×60×20×2.5），间距1200mm，通过膨胀螺栓固定在混凝土屋面板上，螺栓间距800mm。</w:t>
      </w:r>
    </w:p>
    <w:p w14:paraId="096EBEE6">
      <w:pPr>
        <w:numPr>
          <w:ilvl w:val="0"/>
          <w:numId w:val="1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通风层：预留100mm通风间隙，用于组件散热及屋面潮气排出。</w:t>
      </w:r>
    </w:p>
    <w:p w14:paraId="75202657">
      <w:pPr>
        <w:numPr>
          <w:ilvl w:val="0"/>
          <w:numId w:val="1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BIPV组件层：HJT光伏组件（尺寸1600mm×1000mm，功率400W），通过专用铝合金连接件固定在钢檩条上，组件之间间隙20mm（用于排水及电缆敷设）。</w:t>
      </w:r>
    </w:p>
    <w:p w14:paraId="4BEFEC9F">
      <w:pPr>
        <w:numPr>
          <w:ilvl w:val="0"/>
          <w:numId w:val="1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密封层：组件之间的缝隙采用硅酮密封胶（耐候级，耐温范围-40℃~80℃）填充，女儿墙与组件连接处采用金属压条+密封胶双重密封，压条固定间距300mm。</w:t>
      </w:r>
    </w:p>
    <w:p w14:paraId="35BBAB82">
      <w:pPr>
        <w:numPr>
          <w:ilvl w:val="0"/>
          <w:numId w:val="1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防雷层：在组件阵列边缘设置镀锌扁钢（截面40mm×4mm）作为防雷引下线，与建筑主体防雷系统连接，组件金属边框通过连接件与防雷引下线导通，接地电阻≤4Ω。</w:t>
      </w:r>
    </w:p>
    <w:p w14:paraId="47ED02F9">
      <w:pPr>
        <w:spacing w:before="320" w:after="120" w:line="288" w:lineRule="auto"/>
        <w:ind w:left="0"/>
        <w:jc w:val="left"/>
        <w:outlineLvl w:val="1"/>
      </w:pPr>
      <w:bookmarkStart w:id="6" w:name="heading_6"/>
      <w:r>
        <w:rPr>
          <w:rFonts w:ascii="Arial" w:hAnsi="Arial" w:eastAsia="等线" w:cs="Arial"/>
          <w:b/>
          <w:sz w:val="32"/>
        </w:rPr>
        <w:t>（二）核心融入措施</w:t>
      </w:r>
      <w:bookmarkEnd w:id="6"/>
    </w:p>
    <w:p w14:paraId="1F5BC173">
      <w:pPr>
        <w:numPr>
          <w:ilvl w:val="0"/>
          <w:numId w:val="1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防水防渗措施</w:t>
      </w:r>
      <w:r>
        <w:rPr>
          <w:rFonts w:ascii="Arial" w:hAnsi="Arial" w:eastAsia="等线" w:cs="Arial"/>
          <w:sz w:val="22"/>
        </w:rPr>
        <w:t>：采用“双重防水+密封加强”方案。首先，防水卷材在女儿墙根部、檩条固定点等易渗漏部位进行加强处理，增设防水附加层（宽度500mm）；其次，BIPV组件与屋面基层之间采用“上压下”的铺设方式，配合组件底部的滴水槽设计，避免雨水沿组件边缘渗入；最后，组件间隙及与女儿墙连接处的密封胶采用专用施工工具涂抹，确保胶缝饱满、平整，无气泡，施工后进行闭水试验（蓄水深度20mm，持续24小时无渗漏）。</w:t>
      </w:r>
    </w:p>
    <w:p w14:paraId="4C002E30">
      <w:pPr>
        <w:numPr>
          <w:ilvl w:val="0"/>
          <w:numId w:val="1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组件固定与结构承载措施</w:t>
      </w:r>
      <w:r>
        <w:rPr>
          <w:rFonts w:ascii="Arial" w:hAnsi="Arial" w:eastAsia="等线" w:cs="Arial"/>
          <w:sz w:val="22"/>
        </w:rPr>
        <w:t>：专用铝合金连接件采用“卡扣式”设计，既保证组件固定牢固，又可吸收建筑变形（如温度变形、沉降变形）产生的应力，避免组件破裂。连接件与钢檩条的连接采用不锈钢螺栓（型号M8×30），并配备防松垫圈，防止长期使用过程中螺栓松动。钢檩条的截面尺寸及间距经结构计算确定，可承受组件重量、风荷载、雪荷载及施工荷载的叠加作用，安全系数≥1.5。</w:t>
      </w:r>
    </w:p>
    <w:p w14:paraId="7753CF9A">
      <w:pPr>
        <w:numPr>
          <w:ilvl w:val="0"/>
          <w:numId w:val="2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通风散热与热工优化措施</w:t>
      </w:r>
      <w:r>
        <w:rPr>
          <w:rFonts w:ascii="Arial" w:hAnsi="Arial" w:eastAsia="等线" w:cs="Arial"/>
          <w:sz w:val="22"/>
        </w:rPr>
        <w:t>：通风层的设置是关键，通过屋面檐口的进风口与屋脊的出风口形成自然通风回路，加速组件底部空气流动，降低组件工作温度。经测试，通风层可使组件工作温度较无通风层降低6℃，发电效率提升3%。同时，保温层与组件的协同作用，可有效减少屋面传热损失，提升建筑室内热舒适度。</w:t>
      </w:r>
    </w:p>
    <w:p w14:paraId="5F627322">
      <w:pPr>
        <w:numPr>
          <w:ilvl w:val="0"/>
          <w:numId w:val="2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防雷接地与电气安全措施</w:t>
      </w:r>
      <w:r>
        <w:rPr>
          <w:rFonts w:ascii="Arial" w:hAnsi="Arial" w:eastAsia="等线" w:cs="Arial"/>
          <w:sz w:val="22"/>
        </w:rPr>
        <w:t>：组件金属边框、连接件、钢檩条均实现电气导通，形成统一的防雷接地系统。防雷引下线与建筑主体防雷网连接，确保雷电电流可快速导入地下。组件之间的电缆采用穿管保护（PVC管，直径25mm），电缆接头采用防水接头，避免雨水渗入导致短路。</w:t>
      </w:r>
    </w:p>
    <w:p w14:paraId="631FF392">
      <w:pPr>
        <w:spacing w:before="380" w:after="140" w:line="288" w:lineRule="auto"/>
        <w:ind w:left="0"/>
        <w:jc w:val="left"/>
        <w:outlineLvl w:val="0"/>
      </w:pPr>
      <w:bookmarkStart w:id="7" w:name="heading_7"/>
      <w:r>
        <w:rPr>
          <w:rFonts w:ascii="Arial" w:hAnsi="Arial" w:eastAsia="等线" w:cs="Arial"/>
          <w:b/>
          <w:sz w:val="36"/>
        </w:rPr>
        <w:t>四、技术模型与工程资料</w:t>
      </w:r>
      <w:bookmarkEnd w:id="7"/>
    </w:p>
    <w:p w14:paraId="544B2E86">
      <w:pPr>
        <w:spacing w:before="120" w:after="120" w:line="288" w:lineRule="auto"/>
        <w:ind w:left="0" w:firstLine="440" w:firstLineChars="200"/>
        <w:jc w:val="left"/>
      </w:pPr>
      <w:r>
        <w:rPr>
          <w:rFonts w:ascii="Arial" w:hAnsi="Arial" w:eastAsia="等线" w:cs="Arial"/>
          <w:sz w:val="22"/>
        </w:rPr>
        <w:t>本次选用某实际绿色建筑项目的屋面BIPV节点模型，节点模型采用Revit软件绘制，包含完整的构造层次、组件尺寸、连接件位置及电气线路走向</w:t>
      </w:r>
    </w:p>
    <w:p w14:paraId="45396D4B">
      <w:pPr>
        <w:spacing w:before="120" w:after="120" w:line="288" w:lineRule="auto"/>
        <w:ind w:left="0" w:firstLine="440" w:firstLineChars="200"/>
        <w:jc w:val="left"/>
      </w:pPr>
      <w:r>
        <w:rPr>
          <w:rFonts w:ascii="Arial" w:hAnsi="Arial" w:eastAsia="等线" w:cs="Arial"/>
          <w:sz w:val="22"/>
        </w:rPr>
        <w:t>女儿墙高度900mm，组件安装高度800mm，密封胶缝宽度15mm，通风层高度100mm，钢檩条间距1200mm。</w:t>
      </w:r>
    </w:p>
    <w:tbl>
      <w:tblPr>
        <w:tblStyle w:val="2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50"/>
        <w:gridCol w:w="1650"/>
        <w:gridCol w:w="1650"/>
        <w:gridCol w:w="1650"/>
        <w:gridCol w:w="1650"/>
      </w:tblGrid>
      <w:tr w14:paraId="0FE8B57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4E31A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材料名称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C3A04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型号/规格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3EE0C4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核心参数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B93EC0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执行标准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0DB8E1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用途</w:t>
            </w:r>
          </w:p>
        </w:tc>
      </w:tr>
      <w:tr w14:paraId="775E3A5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B1B66D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HJT光伏组件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85F1A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1600mm×1000mm，400W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B7523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转换效率25%，开路电压42V，短路电流12.5A，重量12kg/㎡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D4146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GB/T 9535-2018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08A8D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发电、屋面围护</w:t>
            </w:r>
          </w:p>
        </w:tc>
      </w:tr>
      <w:tr w14:paraId="4DEA38C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23D0E0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SBS改性沥青防水卷材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F7D6A2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4mm+3mm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DB4AE4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耐热温度90℃，低温柔性-20℃，拉伸强度≥1.5MPa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8EA37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GB 18242-2008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06AAAA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屋面防水</w:t>
            </w:r>
          </w:p>
        </w:tc>
      </w:tr>
      <w:tr w14:paraId="1F330F5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0C218F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磷石膏基保温板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F7164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50mm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2178AA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导热系数0.026W/(m·K)，抗压强度≥200kPa，碳排放较挤塑板降60%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61B6A7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GB/T 28627-2012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14A272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屋面保温</w:t>
            </w:r>
          </w:p>
        </w:tc>
      </w:tr>
      <w:tr w14:paraId="23F044B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9DFEE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镀锌钢檩条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5E274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C160×60×20×2.5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737E2E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镀锌层厚度≥85μm，屈服强度≥235MPa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DE42A2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GB/T 11263-2017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AE996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组件支撑</w:t>
            </w:r>
          </w:p>
        </w:tc>
      </w:tr>
      <w:tr w14:paraId="7045C22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24650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铝合金连接件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1F75E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定制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E3B144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材质6063-T5，抗拉强度≥205MPa，表面阳极氧化处理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CCCB15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GB/T 5237.1-2017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CA1376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组件固定</w:t>
            </w:r>
          </w:p>
        </w:tc>
      </w:tr>
      <w:tr w14:paraId="5FE2BA14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5EFB8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耐候硅酮密封胶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97FA52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中性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20DB34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邵氏硬度25-35，拉伸粘结强度≥0.6MPa，耐温-40℃~80℃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ECB48D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GB/T 14683-2017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232321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缝隙密封</w:t>
            </w:r>
          </w:p>
        </w:tc>
      </w:tr>
      <w:tr w14:paraId="6408476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AFE53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C30低碳混凝土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D685B1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强度等级C30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6B016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抗压强度≥30MPa，容重2300kg/m³，碳排放因子较常规降66%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068EA3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GB/T 50107-2010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9B515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屋面结构层</w:t>
            </w:r>
          </w:p>
        </w:tc>
      </w:tr>
      <w:tr w14:paraId="229F504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5D2A6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磷石膏自流平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AB3441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厚度20mm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BA464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平整度≤2mm/2m，抗压强度≥4MPa，碳排放较水泥砂浆降79%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B342F4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JC/T 1023-2021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DCFFC3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屋面找平层</w:t>
            </w:r>
          </w:p>
        </w:tc>
      </w:tr>
      <w:tr w14:paraId="1C8ABF4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C78509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M60III型灌浆料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4A45D2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高强度型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91F14D6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抗压强度≥60MPa，流动度≥300mm，碳排放较常规灌浆料降88%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49A335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GB/T 50448-2015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749DCA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连接件加固</w:t>
            </w:r>
          </w:p>
        </w:tc>
      </w:tr>
    </w:tbl>
    <w:p w14:paraId="02724B0E">
      <w:pPr>
        <w:spacing w:before="380" w:after="140" w:line="288" w:lineRule="auto"/>
        <w:ind w:left="0"/>
        <w:jc w:val="left"/>
        <w:outlineLvl w:val="0"/>
      </w:pPr>
      <w:bookmarkStart w:id="8" w:name="heading_11"/>
      <w:r>
        <w:rPr>
          <w:rFonts w:ascii="Arial" w:hAnsi="Arial" w:eastAsia="等线" w:cs="Arial"/>
          <w:b/>
          <w:sz w:val="36"/>
        </w:rPr>
        <w:t>五、性能仿真验证与数值模拟结果</w:t>
      </w:r>
      <w:bookmarkEnd w:id="8"/>
    </w:p>
    <w:p w14:paraId="6CCE98E1">
      <w:pPr>
        <w:spacing w:before="120" w:after="120" w:line="288" w:lineRule="auto"/>
        <w:ind w:left="0" w:firstLine="440" w:firstLineChars="200"/>
        <w:jc w:val="left"/>
      </w:pPr>
      <w:r>
        <w:rPr>
          <w:rFonts w:ascii="Arial" w:hAnsi="Arial" w:eastAsia="等线" w:cs="Arial"/>
          <w:sz w:val="22"/>
        </w:rPr>
        <w:t>本次采用专业软件对屋面BIPV节点的热工性能、光环境性能及结构响应进行仿真分析，验证技术方案的合理性与落地性。</w:t>
      </w:r>
    </w:p>
    <w:p w14:paraId="7E2EEDBB">
      <w:pPr>
        <w:spacing w:before="320" w:after="120" w:line="288" w:lineRule="auto"/>
        <w:ind w:left="0"/>
        <w:jc w:val="left"/>
        <w:outlineLvl w:val="1"/>
      </w:pPr>
      <w:bookmarkStart w:id="9" w:name="heading_12"/>
      <w:r>
        <w:rPr>
          <w:rFonts w:ascii="Arial" w:hAnsi="Arial" w:eastAsia="等线" w:cs="Arial"/>
          <w:b/>
          <w:sz w:val="32"/>
        </w:rPr>
        <w:t>（一）热工性能仿真（采用DeST软件）</w:t>
      </w:r>
      <w:bookmarkEnd w:id="9"/>
    </w:p>
    <w:p w14:paraId="3DF2C662">
      <w:pPr>
        <w:spacing w:before="300" w:after="120" w:line="288" w:lineRule="auto"/>
        <w:ind w:left="0"/>
        <w:jc w:val="left"/>
        <w:outlineLvl w:val="2"/>
      </w:pPr>
      <w:bookmarkStart w:id="10" w:name="heading_13"/>
      <w:r>
        <w:rPr>
          <w:rFonts w:ascii="Arial" w:hAnsi="Arial" w:eastAsia="等线" w:cs="Arial"/>
          <w:b/>
          <w:sz w:val="30"/>
        </w:rPr>
        <w:t>1. 仿真条件</w:t>
      </w:r>
      <w:bookmarkEnd w:id="10"/>
    </w:p>
    <w:p w14:paraId="224CC4FD">
      <w:pPr>
        <w:spacing w:before="120" w:after="120" w:line="288" w:lineRule="auto"/>
        <w:ind w:left="0" w:firstLine="440" w:firstLineChars="200"/>
        <w:jc w:val="left"/>
      </w:pPr>
      <w:r>
        <w:rPr>
          <w:rFonts w:ascii="Arial" w:hAnsi="Arial" w:eastAsia="等线" w:cs="Arial"/>
          <w:sz w:val="22"/>
        </w:rPr>
        <w:t>气候区域：严寒地区（以XX市为例），冬季室外计算温度-15℃，夏季室外计算温度32℃；室内设计温度：冬季20℃，夏季26℃；屋面构造按上述节点构造层次设置（含C30低碳混凝土、磷石膏基保温板等低碳建材），同步考虑低碳建材的热工特性对仿真结果的影响。</w:t>
      </w:r>
    </w:p>
    <w:p w14:paraId="53B8F694">
      <w:pPr>
        <w:spacing w:before="300" w:after="120" w:line="288" w:lineRule="auto"/>
        <w:ind w:left="0"/>
        <w:jc w:val="left"/>
        <w:outlineLvl w:val="2"/>
      </w:pPr>
      <w:bookmarkStart w:id="11" w:name="heading_14"/>
      <w:r>
        <w:rPr>
          <w:rFonts w:ascii="Arial" w:hAnsi="Arial" w:eastAsia="等线" w:cs="Arial"/>
          <w:b/>
          <w:sz w:val="30"/>
        </w:rPr>
        <w:t>2. 模拟结果</w:t>
      </w:r>
      <w:bookmarkEnd w:id="11"/>
    </w:p>
    <w:tbl>
      <w:tblPr>
        <w:tblStyle w:val="2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80"/>
        <w:gridCol w:w="1380"/>
        <w:gridCol w:w="1380"/>
        <w:gridCol w:w="1380"/>
        <w:gridCol w:w="1380"/>
        <w:gridCol w:w="1380"/>
      </w:tblGrid>
      <w:tr w14:paraId="5DC678D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1DA4E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关键指标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12C71E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模拟数值（含低碳建材）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45AF8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常规材料模拟值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59BEB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规范要求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D07CE1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优化幅度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930AA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是否达标</w:t>
            </w:r>
          </w:p>
        </w:tc>
      </w:tr>
      <w:tr w14:paraId="74EBF63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2C8EC4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屋面传热系数K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16872F6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0.25W/(㎡·K)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A85B6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0.32W/(㎡·K)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EFD4D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≤0.3W/(㎡·K)（严寒地区）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1681A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21.9%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90EFB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  <w:tr w14:paraId="33A4166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386CB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冬季屋面内表面温度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4CF815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19.2℃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0B7F99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17.8℃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1E354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≥16℃（无结露）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D549D1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7.9%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5AF286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  <w:tr w14:paraId="7B82975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52FC42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夏季屋面内表面温度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DF32AD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27.1℃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CE1D79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29.5℃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BBAAD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≤30℃（舒适要求）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DE209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8.1%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566A29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  <w:tr w14:paraId="5010C32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B3875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组件工作温度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E91F93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40℃（夏季正午）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2C5A26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45℃（夏季正午）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03B9B1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≤60℃（组件安全工作温度）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97BAE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11.1%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FFCF1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</w:tbl>
    <w:p w14:paraId="348AC542">
      <w:pPr>
        <w:spacing w:before="320" w:after="120" w:line="288" w:lineRule="auto"/>
        <w:ind w:left="0"/>
        <w:jc w:val="left"/>
        <w:outlineLvl w:val="1"/>
      </w:pPr>
      <w:bookmarkStart w:id="12" w:name="heading_15"/>
      <w:r>
        <w:rPr>
          <w:rFonts w:ascii="Arial" w:hAnsi="Arial" w:eastAsia="等线" w:cs="Arial"/>
          <w:b/>
          <w:sz w:val="32"/>
        </w:rPr>
        <w:t>（二）光环境性能仿真（采用Ecotect Analysis软件）</w:t>
      </w:r>
      <w:bookmarkEnd w:id="12"/>
    </w:p>
    <w:p w14:paraId="736E4E92">
      <w:pPr>
        <w:spacing w:before="300" w:after="120" w:line="288" w:lineRule="auto"/>
        <w:ind w:left="0"/>
        <w:jc w:val="left"/>
        <w:outlineLvl w:val="2"/>
      </w:pPr>
      <w:bookmarkStart w:id="13" w:name="heading_16"/>
      <w:r>
        <w:rPr>
          <w:rFonts w:ascii="Arial" w:hAnsi="Arial" w:eastAsia="等线" w:cs="Arial"/>
          <w:b/>
          <w:sz w:val="30"/>
        </w:rPr>
        <w:t>1. 仿真条件</w:t>
      </w:r>
      <w:bookmarkEnd w:id="13"/>
    </w:p>
    <w:p w14:paraId="5D489259">
      <w:pPr>
        <w:spacing w:before="120" w:after="120" w:line="288" w:lineRule="auto"/>
        <w:ind w:left="0" w:firstLine="440" w:firstLineChars="200"/>
        <w:jc w:val="left"/>
      </w:pPr>
      <w:r>
        <w:rPr>
          <w:rFonts w:ascii="Arial" w:hAnsi="Arial" w:eastAsia="等线" w:cs="Arial"/>
          <w:sz w:val="22"/>
        </w:rPr>
        <w:t>建筑为多层办公建筑，南立面部分采用BIPV组件（半透明），室内吊顶高度2.8m，工作面高度0.75m；仿真时间为夏季晴天正午（12:00）及冬季晴天正午（12:00）。</w:t>
      </w:r>
    </w:p>
    <w:p w14:paraId="53365FE9">
      <w:pPr>
        <w:spacing w:before="300" w:after="120" w:line="288" w:lineRule="auto"/>
        <w:ind w:left="0"/>
        <w:jc w:val="left"/>
        <w:outlineLvl w:val="2"/>
      </w:pPr>
      <w:bookmarkStart w:id="14" w:name="heading_17"/>
      <w:r>
        <w:rPr>
          <w:rFonts w:ascii="Arial" w:hAnsi="Arial" w:eastAsia="等线" w:cs="Arial"/>
          <w:b/>
          <w:sz w:val="30"/>
        </w:rPr>
        <w:t>2. 模拟结果</w:t>
      </w:r>
      <w:bookmarkEnd w:id="14"/>
    </w:p>
    <w:tbl>
      <w:tblPr>
        <w:tblStyle w:val="2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50"/>
        <w:gridCol w:w="1650"/>
        <w:gridCol w:w="1650"/>
        <w:gridCol w:w="1650"/>
        <w:gridCol w:w="1650"/>
      </w:tblGrid>
      <w:tr w14:paraId="58A6962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401BCF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关键指标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AE1E2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夏季模拟值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E37703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冬季模拟值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DF85B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规范要求（办公建筑）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FB8B32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是否达标</w:t>
            </w:r>
          </w:p>
        </w:tc>
      </w:tr>
      <w:tr w14:paraId="2553265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85F9D1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室内平均照度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611A73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520lx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C6B9C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480lx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80E0FB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300-500lx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74ECD7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是（夏季略高，可通过窗帘调节）</w:t>
            </w:r>
          </w:p>
        </w:tc>
      </w:tr>
      <w:tr w14:paraId="5AE6180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A3FCD5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照度均匀度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CA70F5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0.72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0645D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0.68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DD721E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≥0.6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8885C1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  <w:tr w14:paraId="1081FDF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B15CE9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眩光值（UGR）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71217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19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0FC607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18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BA2C5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≤22</w:t>
            </w:r>
          </w:p>
        </w:tc>
        <w:tc>
          <w:tcPr>
            <w:tcW w:w="165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7FE216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</w:tbl>
    <w:p w14:paraId="270D77EC">
      <w:pPr>
        <w:spacing w:before="320" w:after="120" w:line="288" w:lineRule="auto"/>
        <w:ind w:left="0"/>
        <w:jc w:val="left"/>
        <w:outlineLvl w:val="1"/>
      </w:pPr>
      <w:bookmarkStart w:id="15" w:name="heading_18"/>
      <w:r>
        <w:rPr>
          <w:rFonts w:ascii="Arial" w:hAnsi="Arial" w:eastAsia="等线" w:cs="Arial"/>
          <w:b/>
          <w:sz w:val="32"/>
        </w:rPr>
        <w:t>（三）结构响应仿真（采用ANSYS软件）</w:t>
      </w:r>
      <w:bookmarkEnd w:id="15"/>
    </w:p>
    <w:p w14:paraId="23DDA784">
      <w:pPr>
        <w:spacing w:before="300" w:after="120" w:line="288" w:lineRule="auto"/>
        <w:ind w:left="0"/>
        <w:jc w:val="left"/>
        <w:outlineLvl w:val="2"/>
      </w:pPr>
      <w:bookmarkStart w:id="16" w:name="heading_19"/>
      <w:r>
        <w:rPr>
          <w:rFonts w:ascii="Arial" w:hAnsi="Arial" w:eastAsia="等线" w:cs="Arial"/>
          <w:b/>
          <w:sz w:val="30"/>
        </w:rPr>
        <w:t>1. 仿真条件</w:t>
      </w:r>
      <w:bookmarkEnd w:id="16"/>
    </w:p>
    <w:p w14:paraId="1BB36CA9">
      <w:pPr>
        <w:spacing w:before="120" w:after="120" w:line="288" w:lineRule="auto"/>
        <w:ind w:left="0" w:firstLine="440" w:firstLineChars="200"/>
        <w:jc w:val="left"/>
      </w:pPr>
      <w:r>
        <w:rPr>
          <w:rFonts w:ascii="Arial" w:hAnsi="Arial" w:eastAsia="等线" w:cs="Arial"/>
          <w:sz w:val="22"/>
        </w:rPr>
        <w:t>模拟屋面节点在最不利荷载组合下的结构响应，荷载组合：1.2×永久荷载（组件自重+檩条自重+低碳混凝土屋面板自重）+1.4×风荷载（0.7kN/㎡）+1.4×雪荷载（0.5kN/㎡）；结构模型包含C30低碳混凝土屋面板、钢檩条、连接件、BIPV组件及M60III型灌浆料加固层，重点验证低碳建材的承载性能。</w:t>
      </w:r>
    </w:p>
    <w:p w14:paraId="11216869">
      <w:pPr>
        <w:spacing w:before="300" w:after="120" w:line="288" w:lineRule="auto"/>
        <w:ind w:left="0"/>
        <w:jc w:val="left"/>
        <w:outlineLvl w:val="2"/>
      </w:pPr>
      <w:bookmarkStart w:id="17" w:name="heading_20"/>
      <w:r>
        <w:rPr>
          <w:rFonts w:ascii="Arial" w:hAnsi="Arial" w:eastAsia="等线" w:cs="Arial"/>
          <w:b/>
          <w:sz w:val="30"/>
        </w:rPr>
        <w:t>2. 模拟结果</w:t>
      </w:r>
      <w:bookmarkEnd w:id="17"/>
    </w:p>
    <w:tbl>
      <w:tblPr>
        <w:tblStyle w:val="2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80"/>
        <w:gridCol w:w="1380"/>
        <w:gridCol w:w="1380"/>
        <w:gridCol w:w="1380"/>
        <w:gridCol w:w="1380"/>
        <w:gridCol w:w="1380"/>
      </w:tblGrid>
      <w:tr w14:paraId="703F2F0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F5F8C2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关键指标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EF32AB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模拟数值（含低碳建材）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F7339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常规材料模拟值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8AE512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材料许用值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33CB45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优化幅度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BA2A3B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是否达标</w:t>
            </w:r>
          </w:p>
        </w:tc>
      </w:tr>
      <w:tr w14:paraId="0E71926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775AC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钢檩条最大应力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5E48A9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112MPa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6AE2AD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135MPa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4FFA5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235MPa（Q235钢）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9A1C6A0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17.0%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3C085D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  <w:tr w14:paraId="002CA41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EF1858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铝合金连接件最大应力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615899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142MPa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7F48B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158MPa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E0FA2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205MPa（6063-T5）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17F07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10.1%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E9557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  <w:tr w14:paraId="1BD7D8D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5D2F31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低碳混凝土屋面板最大拉应力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373C00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0.75MPa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288EDD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0.82MPa（常规C30混凝土）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8BD170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1.43MPa（C30混凝土）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295774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8.5%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CE4A09B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  <w:tr w14:paraId="05FF07D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07B7D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节点最大位移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EB78C87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1.9mm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918CF1D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2.4mm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985E1F2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≤L/250（L为檩条跨度，1200mm，许用位移4.8mm）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D244D6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20.8%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038925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是</w:t>
            </w:r>
          </w:p>
        </w:tc>
      </w:tr>
    </w:tbl>
    <w:p w14:paraId="4D86EFFD">
      <w:pPr>
        <w:spacing w:before="380" w:after="140" w:line="288" w:lineRule="auto"/>
        <w:ind w:left="0"/>
        <w:jc w:val="left"/>
        <w:outlineLvl w:val="0"/>
      </w:pPr>
      <w:bookmarkStart w:id="18" w:name="heading_21"/>
      <w:r>
        <w:rPr>
          <w:rFonts w:ascii="Arial" w:hAnsi="Arial" w:eastAsia="等线" w:cs="Arial"/>
          <w:b/>
          <w:sz w:val="36"/>
        </w:rPr>
        <w:t>六、技术逻辑与落地可能性总结</w:t>
      </w:r>
      <w:bookmarkEnd w:id="18"/>
    </w:p>
    <w:p w14:paraId="0281D39F">
      <w:pPr>
        <w:spacing w:before="120" w:after="120" w:line="288" w:lineRule="auto"/>
        <w:ind w:left="0" w:firstLine="440" w:firstLineChars="200"/>
        <w:jc w:val="left"/>
      </w:pPr>
      <w:r>
        <w:rPr>
          <w:rFonts w:ascii="Arial" w:hAnsi="Arial" w:eastAsia="等线" w:cs="Arial"/>
          <w:sz w:val="22"/>
        </w:rPr>
        <w:t>本次应用的“BIPV技术+低碳建材”组合绿色技术方案，通过“能源低碳化、材料低碳化、节点构造精细化、多专业协同化”的技术逻辑，实现了绿色能源与低碳建材的深度融合。从技术逻辑来看，HJT组件的高转换效率与长寿命特性保证发电功能稳定，C30低碳混凝土、磷石膏制品等材料通过固废利用实现建材阶段降碳（降碳66%~88%）；节点构造的“防水+保温+通风+承重+降碳”一体化设计，既解决了传统BIPV系统易渗漏、热工性能差的痛点，又弥补了单一低碳建材缺乏能源自给能力的不足；多专业仿真验证则从热工、光环境、结构安全、碳减排等维度，全面验证了技术方案的科学性。</w:t>
      </w:r>
    </w:p>
    <w:p w14:paraId="19D5B5DC">
      <w:pPr>
        <w:spacing w:before="120" w:after="120" w:line="288" w:lineRule="auto"/>
        <w:ind w:left="0" w:firstLine="440" w:firstLineChars="200"/>
        <w:jc w:val="left"/>
      </w:pPr>
      <w:r>
        <w:rPr>
          <w:rFonts w:ascii="Arial" w:hAnsi="Arial" w:eastAsia="等线" w:cs="Arial"/>
          <w:sz w:val="22"/>
        </w:rPr>
        <w:t>从落地可能性来看，该组合技术方案具备四大优势：一是核心产品均成熟量产，HJT组件及低碳建材（低碳混凝土、磷石膏制品等）采购渠道稳定，且低碳建材可利用建筑固废本地化生产，进一步降低运输成本；二是单方综合造价约320元/㎡，虽较单一BIPV系统略高，但较“常规建材+附加式光伏”方案降低18%，且全生命周期碳减排效益显著；三是施工工艺与现有建筑施工技术兼容，低碳建材施工无需新增专用设备，BIPV模块化安装与低碳建材铺设可同步进行，不额外增加工期；四是仿真数据与实际工程，方案在热工、光环境、结构安全、碳减排等关键指标上均满足规范要求，运行稳定可靠。综上，本组合绿色技术方案具备完整的技术逻辑与极高的落地可能性。</w:t>
      </w:r>
    </w:p>
    <w:p w14:paraId="402A95D8">
      <w:pPr>
        <w:ind w:firstLine="420" w:firstLineChars="200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singleLevel"/>
    <w:tmpl w:val="9239341B"/>
    <w:lvl w:ilvl="0" w:tentative="0">
      <w:start w:val="10"/>
      <w:numFmt w:val="decimal"/>
      <w:lvlText w:val="%1."/>
      <w:lvlJc w:val="left"/>
      <w:rPr>
        <w:color w:val="3370FF"/>
      </w:rPr>
    </w:lvl>
  </w:abstractNum>
  <w:abstractNum w:abstractNumId="1">
    <w:nsid w:val="9C8AC8EF"/>
    <w:multiLevelType w:val="singleLevel"/>
    <w:tmpl w:val="9C8AC8EF"/>
    <w:lvl w:ilvl="0" w:tentative="0">
      <w:start w:val="19"/>
      <w:numFmt w:val="decimal"/>
      <w:lvlText w:val="%1."/>
      <w:lvlJc w:val="left"/>
      <w:rPr>
        <w:color w:val="3370FF"/>
      </w:rPr>
    </w:lvl>
  </w:abstractNum>
  <w:abstractNum w:abstractNumId="2">
    <w:nsid w:val="B5E306ED"/>
    <w:multiLevelType w:val="singleLevel"/>
    <w:tmpl w:val="B5E306ED"/>
    <w:lvl w:ilvl="0" w:tentative="0">
      <w:start w:val="5"/>
      <w:numFmt w:val="decimal"/>
      <w:lvlText w:val="%1."/>
      <w:lvlJc w:val="left"/>
      <w:rPr>
        <w:color w:val="3370FF"/>
      </w:rPr>
    </w:lvl>
  </w:abstractNum>
  <w:abstractNum w:abstractNumId="3">
    <w:nsid w:val="BF205925"/>
    <w:multiLevelType w:val="singleLevel"/>
    <w:tmpl w:val="BF205925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4">
    <w:nsid w:val="C8879AEF"/>
    <w:multiLevelType w:val="singleLevel"/>
    <w:tmpl w:val="C8879AEF"/>
    <w:lvl w:ilvl="0" w:tentative="0">
      <w:start w:val="13"/>
      <w:numFmt w:val="decimal"/>
      <w:lvlText w:val="%1."/>
      <w:lvlJc w:val="left"/>
      <w:rPr>
        <w:color w:val="3370FF"/>
      </w:rPr>
    </w:lvl>
  </w:abstractNum>
  <w:abstractNum w:abstractNumId="5">
    <w:nsid w:val="CF092B84"/>
    <w:multiLevelType w:val="singleLevel"/>
    <w:tmpl w:val="CF092B84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6">
    <w:nsid w:val="D7F9FE59"/>
    <w:multiLevelType w:val="singleLevel"/>
    <w:tmpl w:val="D7F9FE59"/>
    <w:lvl w:ilvl="0" w:tentative="0">
      <w:start w:val="18"/>
      <w:numFmt w:val="decimal"/>
      <w:lvlText w:val="%1."/>
      <w:lvlJc w:val="left"/>
      <w:rPr>
        <w:color w:val="3370FF"/>
      </w:rPr>
    </w:lvl>
  </w:abstractNum>
  <w:abstractNum w:abstractNumId="7">
    <w:nsid w:val="DCBA6B53"/>
    <w:multiLevelType w:val="singleLevel"/>
    <w:tmpl w:val="DCBA6B53"/>
    <w:lvl w:ilvl="0" w:tentative="0">
      <w:start w:val="17"/>
      <w:numFmt w:val="decimal"/>
      <w:lvlText w:val="%1."/>
      <w:lvlJc w:val="left"/>
      <w:rPr>
        <w:color w:val="3370FF"/>
      </w:rPr>
    </w:lvl>
  </w:abstractNum>
  <w:abstractNum w:abstractNumId="8">
    <w:nsid w:val="F4B5D9F5"/>
    <w:multiLevelType w:val="singleLevel"/>
    <w:tmpl w:val="F4B5D9F5"/>
    <w:lvl w:ilvl="0" w:tentative="0">
      <w:start w:val="15"/>
      <w:numFmt w:val="decimal"/>
      <w:lvlText w:val="%1."/>
      <w:lvlJc w:val="left"/>
      <w:rPr>
        <w:color w:val="3370FF"/>
      </w:rPr>
    </w:lvl>
  </w:abstractNum>
  <w:abstractNum w:abstractNumId="9">
    <w:nsid w:val="0053208E"/>
    <w:multiLevelType w:val="singleLevel"/>
    <w:tmpl w:val="0053208E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0">
    <w:nsid w:val="0248C179"/>
    <w:multiLevelType w:val="singleLevel"/>
    <w:tmpl w:val="0248C179"/>
    <w:lvl w:ilvl="0" w:tentative="0">
      <w:start w:val="9"/>
      <w:numFmt w:val="decimal"/>
      <w:lvlText w:val="%1."/>
      <w:lvlJc w:val="left"/>
      <w:rPr>
        <w:color w:val="3370FF"/>
      </w:rPr>
    </w:lvl>
  </w:abstractNum>
  <w:abstractNum w:abstractNumId="11">
    <w:nsid w:val="03D62ECE"/>
    <w:multiLevelType w:val="singleLevel"/>
    <w:tmpl w:val="03D62ECE"/>
    <w:lvl w:ilvl="0" w:tentative="0">
      <w:start w:val="6"/>
      <w:numFmt w:val="decimal"/>
      <w:lvlText w:val="%1."/>
      <w:lvlJc w:val="left"/>
      <w:rPr>
        <w:color w:val="3370FF"/>
      </w:rPr>
    </w:lvl>
  </w:abstractNum>
  <w:abstractNum w:abstractNumId="12">
    <w:nsid w:val="2470EC97"/>
    <w:multiLevelType w:val="singleLevel"/>
    <w:tmpl w:val="2470EC97"/>
    <w:lvl w:ilvl="0" w:tentative="0">
      <w:start w:val="16"/>
      <w:numFmt w:val="decimal"/>
      <w:lvlText w:val="%1."/>
      <w:lvlJc w:val="left"/>
      <w:rPr>
        <w:color w:val="3370FF"/>
      </w:rPr>
    </w:lvl>
  </w:abstractNum>
  <w:abstractNum w:abstractNumId="13">
    <w:nsid w:val="25B654F3"/>
    <w:multiLevelType w:val="singleLevel"/>
    <w:tmpl w:val="25B654F3"/>
    <w:lvl w:ilvl="0" w:tentative="0">
      <w:start w:val="7"/>
      <w:numFmt w:val="decimal"/>
      <w:lvlText w:val="%1."/>
      <w:lvlJc w:val="left"/>
      <w:rPr>
        <w:color w:val="3370FF"/>
      </w:rPr>
    </w:lvl>
  </w:abstractNum>
  <w:abstractNum w:abstractNumId="14">
    <w:nsid w:val="2A8F537B"/>
    <w:multiLevelType w:val="singleLevel"/>
    <w:tmpl w:val="2A8F537B"/>
    <w:lvl w:ilvl="0" w:tentative="0">
      <w:start w:val="11"/>
      <w:numFmt w:val="decimal"/>
      <w:lvlText w:val="%1."/>
      <w:lvlJc w:val="left"/>
      <w:rPr>
        <w:color w:val="3370FF"/>
      </w:rPr>
    </w:lvl>
  </w:abstractNum>
  <w:abstractNum w:abstractNumId="15">
    <w:nsid w:val="4C1BAE26"/>
    <w:multiLevelType w:val="singleLevel"/>
    <w:tmpl w:val="4C1BAE26"/>
    <w:lvl w:ilvl="0" w:tentative="0">
      <w:start w:val="20"/>
      <w:numFmt w:val="decimal"/>
      <w:lvlText w:val="%1."/>
      <w:lvlJc w:val="left"/>
      <w:rPr>
        <w:color w:val="3370FF"/>
      </w:rPr>
    </w:lvl>
  </w:abstractNum>
  <w:abstractNum w:abstractNumId="16">
    <w:nsid w:val="4D4DC07F"/>
    <w:multiLevelType w:val="singleLevel"/>
    <w:tmpl w:val="4D4DC07F"/>
    <w:lvl w:ilvl="0" w:tentative="0">
      <w:start w:val="14"/>
      <w:numFmt w:val="decimal"/>
      <w:lvlText w:val="%1."/>
      <w:lvlJc w:val="left"/>
      <w:rPr>
        <w:color w:val="3370FF"/>
      </w:rPr>
    </w:lvl>
  </w:abstractNum>
  <w:abstractNum w:abstractNumId="17">
    <w:nsid w:val="59ADCABA"/>
    <w:multiLevelType w:val="singleLevel"/>
    <w:tmpl w:val="59ADCABA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8">
    <w:nsid w:val="5A241D34"/>
    <w:multiLevelType w:val="singleLevel"/>
    <w:tmpl w:val="5A241D34"/>
    <w:lvl w:ilvl="0" w:tentative="0">
      <w:start w:val="12"/>
      <w:numFmt w:val="decimal"/>
      <w:lvlText w:val="%1."/>
      <w:lvlJc w:val="left"/>
      <w:rPr>
        <w:color w:val="3370FF"/>
      </w:rPr>
    </w:lvl>
  </w:abstractNum>
  <w:abstractNum w:abstractNumId="19">
    <w:nsid w:val="60382F6E"/>
    <w:multiLevelType w:val="singleLevel"/>
    <w:tmpl w:val="60382F6E"/>
    <w:lvl w:ilvl="0" w:tentative="0">
      <w:start w:val="21"/>
      <w:numFmt w:val="decimal"/>
      <w:lvlText w:val="%1."/>
      <w:lvlJc w:val="left"/>
      <w:rPr>
        <w:color w:val="3370FF"/>
      </w:rPr>
    </w:lvl>
  </w:abstractNum>
  <w:abstractNum w:abstractNumId="20">
    <w:nsid w:val="72183CF9"/>
    <w:multiLevelType w:val="singleLevel"/>
    <w:tmpl w:val="72183CF9"/>
    <w:lvl w:ilvl="0" w:tentative="0">
      <w:start w:val="8"/>
      <w:numFmt w:val="decimal"/>
      <w:lvlText w:val="%1."/>
      <w:lvlJc w:val="left"/>
      <w:rPr>
        <w:color w:val="3370FF"/>
      </w:rPr>
    </w:lvl>
  </w:abstractNum>
  <w:num w:numId="1">
    <w:abstractNumId w:val="9"/>
  </w:num>
  <w:num w:numId="2">
    <w:abstractNumId w:val="5"/>
  </w:num>
  <w:num w:numId="3">
    <w:abstractNumId w:val="17"/>
  </w:num>
  <w:num w:numId="4">
    <w:abstractNumId w:val="3"/>
  </w:num>
  <w:num w:numId="5">
    <w:abstractNumId w:val="2"/>
  </w:num>
  <w:num w:numId="6">
    <w:abstractNumId w:val="11"/>
  </w:num>
  <w:num w:numId="7">
    <w:abstractNumId w:val="13"/>
  </w:num>
  <w:num w:numId="8">
    <w:abstractNumId w:val="20"/>
  </w:num>
  <w:num w:numId="9">
    <w:abstractNumId w:val="10"/>
  </w:num>
  <w:num w:numId="10">
    <w:abstractNumId w:val="0"/>
  </w:num>
  <w:num w:numId="11">
    <w:abstractNumId w:val="14"/>
  </w:num>
  <w:num w:numId="12">
    <w:abstractNumId w:val="18"/>
  </w:num>
  <w:num w:numId="13">
    <w:abstractNumId w:val="4"/>
  </w:num>
  <w:num w:numId="14">
    <w:abstractNumId w:val="16"/>
  </w:num>
  <w:num w:numId="15">
    <w:abstractNumId w:val="8"/>
  </w:num>
  <w:num w:numId="16">
    <w:abstractNumId w:val="12"/>
  </w:num>
  <w:num w:numId="17">
    <w:abstractNumId w:val="7"/>
  </w:num>
  <w:num w:numId="18">
    <w:abstractNumId w:val="6"/>
  </w:num>
  <w:num w:numId="19">
    <w:abstractNumId w:val="1"/>
  </w:num>
  <w:num w:numId="20">
    <w:abstractNumId w:val="1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CC7B7B"/>
    <w:rsid w:val="2D2D19CD"/>
    <w:rsid w:val="3A946897"/>
    <w:rsid w:val="4825344F"/>
    <w:rsid w:val="54745C44"/>
    <w:rsid w:val="567535C9"/>
    <w:rsid w:val="5E7E3D05"/>
    <w:rsid w:val="69FA7C16"/>
    <w:rsid w:val="75E1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2025-12-24T12:47:42Z</dcterms:created>
  <dc:creator>22915</dc:creator>
  <cp:lastModifiedBy>Mike</cp:lastModifiedBy>
  <dcterms:modified xsi:type="dcterms:W3CDTF">2025-12-24T13:09:08Z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eyJoZGlkIjoiY2ZmYzM2OTJhODM4ZWQxOTRiY2EyYjg3OTRhMTM3YTAiLCJ1c2VySWQiOiI1ODA2NTI5NzkifQ==</vt:lpwstr>
  </property>
  <property fmtid="{D5CDD505-2E9C-101B-9397-08002B2CF9AE}" pid="4" name="ICV">
    <vt:lpwstr>C90E68D9AB73467CBE9602E2E6F6AB93_12</vt:lpwstr>
  </property>
</Properties>
</file>