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78A6C">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14:paraId="5B0CB0F4">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14:paraId="4A9B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32B58C5D">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14:paraId="4C29CBDC">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14:paraId="6EC825ED">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14:paraId="4F8F9D1F">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14:paraId="6293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10867547">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14:paraId="3A584814">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984" w:type="pct"/>
          </w:tcPr>
          <w:p w14:paraId="7138F5A5">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833" w:type="pct"/>
                <w:vMerge w:val="restart"/>
                <w:vAlign w:val="center"/>
              </w:tcPr>
              <w:p w14:paraId="75CC7F58">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w:t>
                </w:r>
              </w:p>
            </w:tc>
          </w:sdtContent>
        </w:sdt>
      </w:tr>
      <w:tr w14:paraId="47B7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370F2D58">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14:paraId="69EDEB3C">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984" w:type="pct"/>
          </w:tcPr>
          <w:p w14:paraId="75B6011A">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33" w:type="pct"/>
            <w:vMerge w:val="continue"/>
          </w:tcPr>
          <w:p w14:paraId="3ED53BA0">
            <w:pPr>
              <w:rPr>
                <w:rFonts w:ascii="Times New Roman" w:hAnsi="Times New Roman" w:eastAsia="宋体" w:cs="Times New Roman"/>
                <w:szCs w:val="21"/>
              </w:rPr>
            </w:pPr>
          </w:p>
        </w:tc>
      </w:tr>
    </w:tbl>
    <w:p w14:paraId="0328BF4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9"/>
        <w:gridCol w:w="4125"/>
      </w:tblGrid>
      <w:tr w14:paraId="2D3D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tcPr>
          <w:p w14:paraId="06FBA1BC">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14:paraId="4D853002">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14:paraId="022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tcPr>
          <w:p w14:paraId="23767ACB">
            <w:pPr>
              <w:rPr>
                <w:rFonts w:ascii="Times New Roman" w:hAnsi="Times New Roman" w:eastAsia="宋体" w:cs="Times New Roman"/>
                <w:szCs w:val="21"/>
              </w:rPr>
            </w:pPr>
            <w:r>
              <w:rPr>
                <w:rFonts w:hint="eastAsia" w:ascii="Times New Roman" w:hAnsi="Times New Roman" w:eastAsia="宋体" w:cs="Times New Roman"/>
                <w:szCs w:val="21"/>
              </w:rPr>
              <w:t>人造板材（办公区隔断、家具）</w:t>
            </w:r>
          </w:p>
        </w:tc>
        <w:tc>
          <w:tcPr>
            <w:tcW w:w="2576" w:type="pct"/>
          </w:tcPr>
          <w:p w14:paraId="34875034">
            <w:pPr>
              <w:rPr>
                <w:rFonts w:ascii="Times New Roman" w:hAnsi="Times New Roman" w:eastAsia="宋体" w:cs="Times New Roman"/>
                <w:szCs w:val="21"/>
              </w:rPr>
            </w:pPr>
            <w:r>
              <w:rPr>
                <w:rFonts w:hint="eastAsia" w:ascii="Times New Roman" w:hAnsi="Times New Roman" w:eastAsia="宋体" w:cs="Times New Roman"/>
                <w:szCs w:val="21"/>
              </w:rPr>
              <w:t>甲醛释放量</w:t>
            </w:r>
          </w:p>
        </w:tc>
      </w:tr>
      <w:tr w14:paraId="09D7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tcPr>
          <w:p w14:paraId="025B38DB">
            <w:pPr>
              <w:rPr>
                <w:rFonts w:ascii="Times New Roman" w:hAnsi="Times New Roman" w:eastAsia="宋体" w:cs="Times New Roman"/>
                <w:szCs w:val="21"/>
              </w:rPr>
            </w:pPr>
            <w:r>
              <w:rPr>
                <w:rFonts w:hint="eastAsia" w:ascii="Times New Roman" w:hAnsi="Times New Roman" w:eastAsia="宋体" w:cs="Times New Roman"/>
                <w:szCs w:val="21"/>
              </w:rPr>
              <w:t>内墙涂料（乳胶漆）</w:t>
            </w:r>
          </w:p>
        </w:tc>
        <w:tc>
          <w:tcPr>
            <w:tcW w:w="2576" w:type="pct"/>
          </w:tcPr>
          <w:p w14:paraId="5A90C05C">
            <w:pPr>
              <w:rPr>
                <w:rFonts w:ascii="Times New Roman" w:hAnsi="Times New Roman" w:eastAsia="宋体" w:cs="Times New Roman"/>
                <w:szCs w:val="21"/>
              </w:rPr>
            </w:pPr>
            <w:r>
              <w:rPr>
                <w:rFonts w:hint="eastAsia" w:ascii="Times New Roman" w:hAnsi="Times New Roman" w:eastAsia="宋体" w:cs="Times New Roman"/>
                <w:szCs w:val="21"/>
              </w:rPr>
              <w:t>挥发性有机化合物（VOC）</w:t>
            </w:r>
          </w:p>
        </w:tc>
      </w:tr>
    </w:tbl>
    <w:p w14:paraId="4B949758">
      <w:pPr>
        <w:rPr>
          <w:rFonts w:ascii="Times New Roman" w:hAnsi="Times New Roman" w:eastAsia="宋体" w:cs="Times New Roman"/>
          <w:szCs w:val="21"/>
        </w:rPr>
      </w:pPr>
    </w:p>
    <w:p w14:paraId="02FF0C3B">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09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356" w:type="dxa"/>
          </w:tcPr>
          <w:p w14:paraId="70173E68">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一、控制标准</w:t>
            </w:r>
          </w:p>
          <w:p w14:paraId="58E9803E">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本项目装饰装修材料有害物质限量严格遵循《民用建筑工程室内环境污染控制标准》GB 50325、《室内装饰装修材料有害物质限量》系列国家标准（GB 18580~18588）及《绿色产品评价 涂料》GB/T 35602等相关规范要求。</w:t>
            </w:r>
          </w:p>
          <w:p w14:paraId="3B9824B3">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二、材料选用原则</w:t>
            </w:r>
          </w:p>
          <w:p w14:paraId="533C32BA">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源头控制：所有装饰装修材料均选用符合国家环保标准的绿色产品，优先选用获得“中国环境标志产品认证”（十环认证）或“绿色建材认证”的产品；</w:t>
            </w:r>
          </w:p>
          <w:p w14:paraId="48B53B5C">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分级管控：按使用区域功能差异，对人员密集区（创意办公区、会议室、数字展厅）采用更高环保等级材料，确保室内空气质量。</w:t>
            </w:r>
          </w:p>
          <w:p w14:paraId="5DF1D4E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三、进场验收</w:t>
            </w:r>
          </w:p>
          <w:p w14:paraId="325AD2AA">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所有材料进场时，核查产品合格证、有害物质限量检测报告（型式检验报告）；</w:t>
            </w:r>
          </w:p>
          <w:p w14:paraId="4E355499">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对重点材料（人造板材、涂料、胶粘剂、地毯等）进行抽样复检，复检合格后方可使用。</w:t>
            </w:r>
          </w:p>
          <w:p w14:paraId="7F3C5F5A">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四、检测结果</w:t>
            </w:r>
          </w:p>
          <w:p w14:paraId="7247C538">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各类装饰装修材料有害物质检测值均低于国家标准限值，符合《民用建筑工程室内环境污染控制标准》GB 50325Ⅰ类民用建筑（住宅、办公、学校等）要求；</w:t>
            </w:r>
            <w:bookmarkStart w:id="0" w:name="_GoBack"/>
            <w:bookmarkEnd w:id="0"/>
          </w:p>
          <w:p w14:paraId="2A24052F">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主要功能房间（创意办公区、会议室、数字展厅）甲醛、苯、TVOC等污染物浓度在材料选用阶段已得到有效控制，为后期室内空气质量达标奠定基础。</w:t>
            </w:r>
          </w:p>
        </w:tc>
      </w:tr>
    </w:tbl>
    <w:p w14:paraId="47EF1513">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572A3E4D">
      <w:pPr>
        <w:rPr>
          <w:rFonts w:ascii="Times New Roman" w:hAnsi="Times New Roman" w:eastAsia="宋体" w:cs="Times New Roman"/>
          <w:szCs w:val="21"/>
        </w:rPr>
      </w:pPr>
      <w:r>
        <w:rPr>
          <w:rFonts w:ascii="Times New Roman" w:hAnsi="Times New Roman" w:eastAsia="宋体" w:cs="Times New Roman"/>
          <w:szCs w:val="21"/>
        </w:rPr>
        <w:t>提交材料及要求：</w:t>
      </w:r>
    </w:p>
    <w:p w14:paraId="56E8FFE7">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14:paraId="5A5AAA2E">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14:paraId="7E08E8C3">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2D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356" w:type="dxa"/>
          </w:tcPr>
          <w:p w14:paraId="399377F9">
            <w:pPr>
              <w:rPr>
                <w:rFonts w:ascii="Times New Roman" w:hAnsi="Times New Roman" w:eastAsia="宋体" w:cs="Times New Roman"/>
                <w:kern w:val="0"/>
                <w:sz w:val="20"/>
                <w:szCs w:val="21"/>
              </w:rPr>
            </w:pPr>
          </w:p>
        </w:tc>
      </w:tr>
    </w:tbl>
    <w:p w14:paraId="660FF1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1E"/>
    <w:rsid w:val="00074A38"/>
    <w:rsid w:val="0038651E"/>
    <w:rsid w:val="00A04483"/>
    <w:rsid w:val="00A550AE"/>
    <w:rsid w:val="00D0717F"/>
    <w:rsid w:val="00E0372A"/>
    <w:rsid w:val="7D6E7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14:paraId="1F85BE6B">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DED0A13B9264CA684F00E721237F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213</Characters>
  <Lines>1</Lines>
  <Paragraphs>1</Paragraphs>
  <TotalTime>2</TotalTime>
  <ScaleCrop>false</ScaleCrop>
  <LinksUpToDate>false</LinksUpToDate>
  <CharactersWithSpaces>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妖精的口袋</cp:lastModifiedBy>
  <dcterms:modified xsi:type="dcterms:W3CDTF">2026-03-27T11:22:53Z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eyJoZGlkIjoiMTdmMGYzN2JlNDk2MTMwN2QyNWUxODIxNmM3YWJlYjAiLCJ1c2VySWQiOiI2MzUxMDcwMDYifQ==</vt:lpwstr>
  </property>
  <property fmtid="{D5CDD505-2E9C-101B-9397-08002B2CF9AE}" pid="3" name="KSOProductBuildVer">
    <vt:lpwstr>2052-12.1.0.25225</vt:lpwstr>
  </property>
  <property fmtid="{D5CDD505-2E9C-101B-9397-08002B2CF9AE}" pid="4" name="ICV">
    <vt:lpwstr>2B62DAAB10A344B99A7141743659833D_12</vt:lpwstr>
  </property>
</Properties>
</file>