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1D80E" w14:textId="77777777" w:rsidR="00105028" w:rsidRPr="00343CEA" w:rsidRDefault="00105028" w:rsidP="00105028">
      <w:pPr>
        <w:pStyle w:val="4"/>
        <w:rPr>
          <w:sz w:val="24"/>
          <w:szCs w:val="40"/>
        </w:rPr>
      </w:pPr>
      <w:r w:rsidRPr="002A7ED7">
        <w:rPr>
          <w:sz w:val="24"/>
          <w:szCs w:val="40"/>
        </w:rPr>
        <w:t>7.2.1</w:t>
      </w:r>
      <w:r w:rsidRPr="002A7ED7">
        <w:rPr>
          <w:rFonts w:hint="eastAsia"/>
          <w:sz w:val="24"/>
          <w:szCs w:val="40"/>
        </w:rPr>
        <w:t>6</w:t>
      </w:r>
      <w:r>
        <w:rPr>
          <w:rFonts w:hint="eastAsia"/>
          <w:sz w:val="24"/>
          <w:szCs w:val="40"/>
        </w:rPr>
        <w:t xml:space="preserve"> </w:t>
      </w:r>
      <w:r>
        <w:rPr>
          <w:rFonts w:hint="eastAsia"/>
          <w:sz w:val="24"/>
          <w:szCs w:val="40"/>
        </w:rPr>
        <w:t>建筑装修选用工业化内装部品。（</w:t>
      </w:r>
      <w:r w:rsidRPr="002A7ED7">
        <w:rPr>
          <w:sz w:val="24"/>
          <w:szCs w:val="40"/>
        </w:rPr>
        <w:t>8</w:t>
      </w:r>
      <w:r w:rsidRPr="002A7ED7">
        <w:rPr>
          <w:rFonts w:hint="eastAsia"/>
          <w:sz w:val="24"/>
          <w:szCs w:val="40"/>
        </w:rPr>
        <w:t>分）</w:t>
      </w:r>
    </w:p>
    <w:p w14:paraId="4F4A7C4F" w14:textId="77777777" w:rsidR="00105028" w:rsidRDefault="00105028" w:rsidP="00105028">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Style w:val="a7"/>
        <w:tblW w:w="7965" w:type="dxa"/>
        <w:jc w:val="center"/>
        <w:tblLook w:val="04A0" w:firstRow="1" w:lastRow="0" w:firstColumn="1" w:lastColumn="0" w:noHBand="0" w:noVBand="1"/>
      </w:tblPr>
      <w:tblGrid>
        <w:gridCol w:w="681"/>
        <w:gridCol w:w="4394"/>
        <w:gridCol w:w="1559"/>
        <w:gridCol w:w="1331"/>
      </w:tblGrid>
      <w:tr w:rsidR="00105028" w:rsidRPr="00646C12" w14:paraId="50D00A99" w14:textId="77777777" w:rsidTr="005A4BEF">
        <w:trPr>
          <w:jc w:val="center"/>
        </w:trPr>
        <w:tc>
          <w:tcPr>
            <w:tcW w:w="681" w:type="dxa"/>
            <w:vAlign w:val="center"/>
          </w:tcPr>
          <w:p w14:paraId="778FB9C3" w14:textId="77777777" w:rsidR="00105028" w:rsidRPr="00646C12" w:rsidRDefault="00105028" w:rsidP="005A4BEF">
            <w:pPr>
              <w:spacing w:line="288" w:lineRule="auto"/>
              <w:jc w:val="center"/>
              <w:rPr>
                <w:rFonts w:ascii="Times New Roman" w:hAnsi="Times New Roman" w:cs="Times New Roman"/>
                <w:b/>
                <w:bCs/>
                <w:lang w:val="zh-CN"/>
              </w:rPr>
            </w:pPr>
            <w:r w:rsidRPr="00646C12">
              <w:rPr>
                <w:rFonts w:ascii="Times New Roman" w:hAnsi="Times New Roman" w:cs="Times New Roman"/>
                <w:szCs w:val="21"/>
              </w:rPr>
              <w:t>序号</w:t>
            </w:r>
          </w:p>
        </w:tc>
        <w:tc>
          <w:tcPr>
            <w:tcW w:w="4394" w:type="dxa"/>
            <w:vAlign w:val="center"/>
          </w:tcPr>
          <w:p w14:paraId="5FD67097" w14:textId="77777777" w:rsidR="00105028" w:rsidRPr="00646C12" w:rsidRDefault="00105028" w:rsidP="005A4BEF">
            <w:pPr>
              <w:spacing w:line="288" w:lineRule="auto"/>
              <w:jc w:val="center"/>
              <w:rPr>
                <w:rFonts w:ascii="Times New Roman" w:hAnsi="Times New Roman" w:cs="Times New Roman"/>
                <w:b/>
                <w:bCs/>
                <w:lang w:val="zh-CN"/>
              </w:rPr>
            </w:pPr>
            <w:r w:rsidRPr="00646C12">
              <w:rPr>
                <w:rFonts w:ascii="Times New Roman" w:hAnsi="Times New Roman" w:cs="Times New Roman"/>
                <w:szCs w:val="21"/>
              </w:rPr>
              <w:t>评价内容</w:t>
            </w:r>
          </w:p>
        </w:tc>
        <w:tc>
          <w:tcPr>
            <w:tcW w:w="1559" w:type="dxa"/>
            <w:vAlign w:val="center"/>
          </w:tcPr>
          <w:p w14:paraId="40AA2959" w14:textId="77777777" w:rsidR="00105028" w:rsidRPr="00646C12" w:rsidRDefault="00105028" w:rsidP="005A4BEF">
            <w:pPr>
              <w:spacing w:line="288" w:lineRule="auto"/>
              <w:jc w:val="center"/>
              <w:rPr>
                <w:rFonts w:ascii="Times New Roman" w:hAnsi="Times New Roman" w:cs="Times New Roman"/>
                <w:b/>
                <w:bCs/>
                <w:lang w:val="zh-CN"/>
              </w:rPr>
            </w:pPr>
            <w:r w:rsidRPr="00646C12">
              <w:rPr>
                <w:rFonts w:ascii="Times New Roman" w:hAnsi="Times New Roman" w:cs="Times New Roman"/>
                <w:szCs w:val="21"/>
              </w:rPr>
              <w:t>评价分值</w:t>
            </w:r>
          </w:p>
        </w:tc>
        <w:tc>
          <w:tcPr>
            <w:tcW w:w="1331" w:type="dxa"/>
            <w:vAlign w:val="center"/>
          </w:tcPr>
          <w:p w14:paraId="5B0102AA" w14:textId="77777777" w:rsidR="00105028" w:rsidRPr="00646C12" w:rsidRDefault="00105028" w:rsidP="005A4BEF">
            <w:pPr>
              <w:spacing w:line="288" w:lineRule="auto"/>
              <w:jc w:val="center"/>
              <w:rPr>
                <w:rFonts w:ascii="Times New Roman" w:hAnsi="Times New Roman" w:cs="Times New Roman"/>
                <w:b/>
                <w:bCs/>
                <w:lang w:val="zh-CN"/>
              </w:rPr>
            </w:pPr>
            <w:r w:rsidRPr="00646C12">
              <w:rPr>
                <w:rFonts w:ascii="Times New Roman" w:hAnsi="Times New Roman" w:cs="Times New Roman"/>
                <w:szCs w:val="21"/>
              </w:rPr>
              <w:t>自评得分</w:t>
            </w:r>
          </w:p>
        </w:tc>
      </w:tr>
      <w:tr w:rsidR="00105028" w:rsidRPr="00646C12" w14:paraId="0953E3AD" w14:textId="77777777" w:rsidTr="005A4BEF">
        <w:trPr>
          <w:trHeight w:val="2536"/>
          <w:jc w:val="center"/>
        </w:trPr>
        <w:tc>
          <w:tcPr>
            <w:tcW w:w="681" w:type="dxa"/>
            <w:vAlign w:val="center"/>
          </w:tcPr>
          <w:p w14:paraId="58337D6D" w14:textId="77777777" w:rsidR="00105028" w:rsidRPr="00646C12" w:rsidRDefault="00105028" w:rsidP="005A4BEF">
            <w:pPr>
              <w:jc w:val="center"/>
              <w:rPr>
                <w:rFonts w:ascii="Times New Roman" w:hAnsi="Times New Roman" w:cs="Times New Roman"/>
                <w:szCs w:val="21"/>
              </w:rPr>
            </w:pPr>
            <w:r w:rsidRPr="00646C12">
              <w:rPr>
                <w:rFonts w:ascii="Times New Roman" w:hAnsi="Times New Roman" w:cs="Times New Roman"/>
                <w:szCs w:val="21"/>
              </w:rPr>
              <w:t>1</w:t>
            </w:r>
          </w:p>
        </w:tc>
        <w:tc>
          <w:tcPr>
            <w:tcW w:w="4394" w:type="dxa"/>
            <w:vAlign w:val="center"/>
          </w:tcPr>
          <w:p w14:paraId="4A5FA360" w14:textId="77777777" w:rsidR="00105028" w:rsidRPr="00646C12" w:rsidRDefault="00105028" w:rsidP="005A4BEF">
            <w:pPr>
              <w:jc w:val="left"/>
              <w:rPr>
                <w:rFonts w:ascii="Times New Roman" w:hAnsi="Times New Roman" w:cs="Times New Roman"/>
                <w:kern w:val="0"/>
                <w:szCs w:val="21"/>
              </w:rPr>
            </w:pPr>
            <w:r w:rsidRPr="00646C12">
              <w:rPr>
                <w:rFonts w:ascii="Times New Roman" w:hAnsi="Times New Roman" w:cs="Times New Roman"/>
                <w:szCs w:val="21"/>
              </w:rPr>
              <w:t>建筑装修选用工业化内装部品占同类部品用量比例达到</w:t>
            </w:r>
            <w:r w:rsidRPr="00646C12">
              <w:rPr>
                <w:rFonts w:ascii="Times New Roman" w:hAnsi="Times New Roman" w:cs="Times New Roman"/>
                <w:szCs w:val="21"/>
              </w:rPr>
              <w:t>50%</w:t>
            </w:r>
            <w:r w:rsidRPr="00646C12">
              <w:rPr>
                <w:rFonts w:ascii="Times New Roman" w:hAnsi="Times New Roman" w:cs="Times New Roman"/>
                <w:szCs w:val="21"/>
              </w:rPr>
              <w:t>以上的部品种类，达到</w:t>
            </w:r>
            <w:r w:rsidRPr="00646C12">
              <w:rPr>
                <w:rFonts w:ascii="Times New Roman" w:hAnsi="Times New Roman" w:cs="Times New Roman"/>
                <w:szCs w:val="21"/>
              </w:rPr>
              <w:t>1</w:t>
            </w:r>
            <w:r w:rsidRPr="00646C12">
              <w:rPr>
                <w:rFonts w:ascii="Times New Roman" w:hAnsi="Times New Roman" w:cs="Times New Roman"/>
                <w:szCs w:val="21"/>
              </w:rPr>
              <w:t>种，得</w:t>
            </w:r>
            <w:r w:rsidRPr="00646C12">
              <w:rPr>
                <w:rFonts w:ascii="Times New Roman" w:hAnsi="Times New Roman" w:cs="Times New Roman"/>
                <w:szCs w:val="21"/>
              </w:rPr>
              <w:t>3</w:t>
            </w:r>
            <w:r w:rsidRPr="00646C12">
              <w:rPr>
                <w:rFonts w:ascii="Times New Roman" w:hAnsi="Times New Roman" w:cs="Times New Roman"/>
                <w:szCs w:val="21"/>
              </w:rPr>
              <w:t>分；达到</w:t>
            </w:r>
            <w:r w:rsidRPr="00646C12">
              <w:rPr>
                <w:rFonts w:ascii="Times New Roman" w:hAnsi="Times New Roman" w:cs="Times New Roman"/>
                <w:szCs w:val="21"/>
              </w:rPr>
              <w:t>3</w:t>
            </w:r>
            <w:r w:rsidRPr="00646C12">
              <w:rPr>
                <w:rFonts w:ascii="Times New Roman" w:hAnsi="Times New Roman" w:cs="Times New Roman"/>
                <w:szCs w:val="21"/>
              </w:rPr>
              <w:t>种，得</w:t>
            </w:r>
            <w:r w:rsidRPr="00646C12">
              <w:rPr>
                <w:rFonts w:ascii="Times New Roman" w:hAnsi="Times New Roman" w:cs="Times New Roman"/>
                <w:szCs w:val="21"/>
              </w:rPr>
              <w:t>5</w:t>
            </w:r>
            <w:r w:rsidRPr="00646C12">
              <w:rPr>
                <w:rFonts w:ascii="Times New Roman" w:hAnsi="Times New Roman" w:cs="Times New Roman"/>
                <w:szCs w:val="21"/>
              </w:rPr>
              <w:t>分；达到</w:t>
            </w:r>
            <w:r w:rsidRPr="00646C12">
              <w:rPr>
                <w:rFonts w:ascii="Times New Roman" w:hAnsi="Times New Roman" w:cs="Times New Roman"/>
                <w:szCs w:val="21"/>
              </w:rPr>
              <w:t>3</w:t>
            </w:r>
            <w:r w:rsidRPr="00646C12">
              <w:rPr>
                <w:rFonts w:ascii="Times New Roman" w:hAnsi="Times New Roman" w:cs="Times New Roman"/>
                <w:szCs w:val="21"/>
              </w:rPr>
              <w:t>种以上，得</w:t>
            </w:r>
            <w:r w:rsidRPr="00646C12">
              <w:rPr>
                <w:rFonts w:ascii="Times New Roman" w:hAnsi="Times New Roman" w:cs="Times New Roman"/>
                <w:szCs w:val="21"/>
              </w:rPr>
              <w:t>8</w:t>
            </w:r>
            <w:r w:rsidRPr="00646C12">
              <w:rPr>
                <w:rFonts w:ascii="Times New Roman" w:hAnsi="Times New Roman" w:cs="Times New Roman"/>
                <w:szCs w:val="21"/>
              </w:rPr>
              <w:t>分：</w:t>
            </w:r>
          </w:p>
          <w:p w14:paraId="520B7F7A" w14:textId="0CE72DE1" w:rsidR="00105028" w:rsidRPr="00646C12" w:rsidRDefault="00000000" w:rsidP="005A4BEF">
            <w:pPr>
              <w:jc w:val="left"/>
              <w:rPr>
                <w:rFonts w:ascii="Times New Roman" w:hAnsi="Times New Roman" w:cs="Times New Roman"/>
                <w:bCs/>
                <w:lang w:val="zh-CN"/>
              </w:rPr>
            </w:pPr>
            <w:sdt>
              <w:sdtPr>
                <w:rPr>
                  <w:rFonts w:hint="eastAsia"/>
                  <w:sz w:val="28"/>
                </w:rPr>
                <w:id w:val="-1863962204"/>
                <w14:checkbox>
                  <w14:checked w14:val="1"/>
                  <w14:checkedState w14:val="0052" w14:font="Wingdings 2"/>
                  <w14:uncheckedState w14:val="00A3" w14:font="Wingdings 2"/>
                </w14:checkbox>
              </w:sdtPr>
              <w:sdtContent>
                <w:r w:rsidR="003329AF">
                  <w:rPr>
                    <w:rFonts w:ascii="Wingdings 2" w:hAnsi="Wingdings 2"/>
                    <w:sz w:val="28"/>
                  </w:rPr>
                  <w:t>R</w:t>
                </w:r>
              </w:sdtContent>
            </w:sdt>
            <w:r w:rsidR="00105028" w:rsidRPr="00646C12">
              <w:rPr>
                <w:rFonts w:ascii="Times New Roman" w:hAnsi="Times New Roman" w:cs="Times New Roman"/>
                <w:bCs/>
                <w:lang w:val="zh-CN"/>
              </w:rPr>
              <w:t>整体卫浴</w:t>
            </w:r>
          </w:p>
          <w:p w14:paraId="1E2650DA" w14:textId="77777777" w:rsidR="00105028" w:rsidRPr="00646C12" w:rsidRDefault="00000000" w:rsidP="005A4BEF">
            <w:pPr>
              <w:jc w:val="left"/>
              <w:rPr>
                <w:rFonts w:ascii="Times New Roman" w:hAnsi="Times New Roman" w:cs="Times New Roman"/>
                <w:bCs/>
                <w:lang w:val="zh-CN"/>
              </w:rPr>
            </w:pPr>
            <w:sdt>
              <w:sdtPr>
                <w:rPr>
                  <w:rFonts w:hint="eastAsia"/>
                  <w:sz w:val="28"/>
                </w:rPr>
                <w:id w:val="1973632459"/>
                <w14:checkbox>
                  <w14:checked w14:val="0"/>
                  <w14:checkedState w14:val="0052" w14:font="Wingdings 2"/>
                  <w14:uncheckedState w14:val="00A3" w14:font="Wingdings 2"/>
                </w14:checkbox>
              </w:sdtPr>
              <w:sdtContent>
                <w:r w:rsidR="00105028">
                  <w:rPr>
                    <w:rFonts w:hint="eastAsia"/>
                    <w:sz w:val="28"/>
                  </w:rPr>
                  <w:sym w:font="Wingdings 2" w:char="F0A3"/>
                </w:r>
              </w:sdtContent>
            </w:sdt>
            <w:r w:rsidR="00105028" w:rsidRPr="00646C12">
              <w:rPr>
                <w:rFonts w:ascii="Times New Roman" w:hAnsi="Times New Roman" w:cs="Times New Roman"/>
                <w:bCs/>
                <w:lang w:val="zh-CN"/>
              </w:rPr>
              <w:t>整体厨房</w:t>
            </w:r>
          </w:p>
          <w:p w14:paraId="3EF87364" w14:textId="77777777" w:rsidR="00105028" w:rsidRPr="00646C12" w:rsidRDefault="00000000" w:rsidP="005A4BEF">
            <w:pPr>
              <w:jc w:val="left"/>
              <w:rPr>
                <w:rFonts w:ascii="Times New Roman" w:hAnsi="Times New Roman" w:cs="Times New Roman"/>
                <w:bCs/>
                <w:lang w:val="zh-CN"/>
              </w:rPr>
            </w:pPr>
            <w:sdt>
              <w:sdtPr>
                <w:rPr>
                  <w:rFonts w:hint="eastAsia"/>
                  <w:sz w:val="28"/>
                </w:rPr>
                <w:id w:val="-2131998916"/>
                <w14:checkbox>
                  <w14:checked w14:val="0"/>
                  <w14:checkedState w14:val="0052" w14:font="Wingdings 2"/>
                  <w14:uncheckedState w14:val="00A3" w14:font="Wingdings 2"/>
                </w14:checkbox>
              </w:sdtPr>
              <w:sdtContent>
                <w:r w:rsidR="00105028">
                  <w:rPr>
                    <w:rFonts w:hint="eastAsia"/>
                    <w:sz w:val="28"/>
                  </w:rPr>
                  <w:sym w:font="Wingdings 2" w:char="F0A3"/>
                </w:r>
              </w:sdtContent>
            </w:sdt>
            <w:r w:rsidR="00105028" w:rsidRPr="00646C12">
              <w:rPr>
                <w:rFonts w:ascii="Times New Roman" w:hAnsi="Times New Roman" w:cs="Times New Roman"/>
                <w:bCs/>
                <w:lang w:val="zh-CN"/>
              </w:rPr>
              <w:t>装配式吊顶</w:t>
            </w:r>
          </w:p>
          <w:p w14:paraId="5C6FA602" w14:textId="06E39C86" w:rsidR="00105028" w:rsidRPr="00646C12" w:rsidRDefault="00000000" w:rsidP="005A4BEF">
            <w:pPr>
              <w:jc w:val="left"/>
              <w:rPr>
                <w:rFonts w:ascii="Times New Roman" w:hAnsi="Times New Roman" w:cs="Times New Roman"/>
                <w:bCs/>
                <w:lang w:val="zh-CN"/>
              </w:rPr>
            </w:pPr>
            <w:sdt>
              <w:sdtPr>
                <w:rPr>
                  <w:rFonts w:hint="eastAsia"/>
                  <w:sz w:val="28"/>
                </w:rPr>
                <w:id w:val="-1175568465"/>
                <w14:checkbox>
                  <w14:checked w14:val="1"/>
                  <w14:checkedState w14:val="0052" w14:font="Wingdings 2"/>
                  <w14:uncheckedState w14:val="00A3" w14:font="Wingdings 2"/>
                </w14:checkbox>
              </w:sdtPr>
              <w:sdtContent>
                <w:r w:rsidR="003329AF">
                  <w:rPr>
                    <w:rFonts w:ascii="Wingdings 2" w:hAnsi="Wingdings 2"/>
                    <w:sz w:val="28"/>
                  </w:rPr>
                  <w:t>R</w:t>
                </w:r>
              </w:sdtContent>
            </w:sdt>
            <w:r w:rsidR="00105028" w:rsidRPr="00646C12">
              <w:rPr>
                <w:rFonts w:ascii="Times New Roman" w:hAnsi="Times New Roman" w:cs="Times New Roman"/>
                <w:bCs/>
                <w:lang w:val="zh-CN"/>
              </w:rPr>
              <w:t>干式工法地面</w:t>
            </w:r>
          </w:p>
          <w:p w14:paraId="42407D08" w14:textId="2C13E29E" w:rsidR="00105028" w:rsidRPr="00646C12" w:rsidRDefault="00000000" w:rsidP="005A4BEF">
            <w:pPr>
              <w:jc w:val="left"/>
              <w:rPr>
                <w:rFonts w:ascii="Times New Roman" w:hAnsi="Times New Roman" w:cs="Times New Roman"/>
                <w:bCs/>
                <w:lang w:val="zh-CN"/>
              </w:rPr>
            </w:pPr>
            <w:sdt>
              <w:sdtPr>
                <w:rPr>
                  <w:rFonts w:hint="eastAsia"/>
                  <w:sz w:val="28"/>
                </w:rPr>
                <w:id w:val="-1381173472"/>
                <w14:checkbox>
                  <w14:checked w14:val="1"/>
                  <w14:checkedState w14:val="0052" w14:font="Wingdings 2"/>
                  <w14:uncheckedState w14:val="00A3" w14:font="Wingdings 2"/>
                </w14:checkbox>
              </w:sdtPr>
              <w:sdtContent>
                <w:r w:rsidR="003329AF">
                  <w:rPr>
                    <w:rFonts w:ascii="Wingdings 2" w:hAnsi="Wingdings 2"/>
                    <w:sz w:val="28"/>
                  </w:rPr>
                  <w:t>R</w:t>
                </w:r>
              </w:sdtContent>
            </w:sdt>
            <w:r w:rsidR="00105028" w:rsidRPr="00646C12">
              <w:rPr>
                <w:rFonts w:ascii="Times New Roman" w:hAnsi="Times New Roman" w:cs="Times New Roman"/>
                <w:bCs/>
                <w:lang w:val="zh-CN"/>
              </w:rPr>
              <w:t>装配式内墙</w:t>
            </w:r>
          </w:p>
          <w:p w14:paraId="3F0981BC" w14:textId="77777777" w:rsidR="00105028" w:rsidRPr="00646C12" w:rsidRDefault="00000000" w:rsidP="005A4BEF">
            <w:pPr>
              <w:jc w:val="left"/>
              <w:rPr>
                <w:rFonts w:ascii="Times New Roman" w:hAnsi="Times New Roman" w:cs="Times New Roman"/>
                <w:bCs/>
                <w:lang w:val="zh-CN"/>
              </w:rPr>
            </w:pPr>
            <w:sdt>
              <w:sdtPr>
                <w:rPr>
                  <w:rFonts w:hint="eastAsia"/>
                  <w:sz w:val="28"/>
                </w:rPr>
                <w:id w:val="-1042589349"/>
                <w14:checkbox>
                  <w14:checked w14:val="0"/>
                  <w14:checkedState w14:val="0052" w14:font="Wingdings 2"/>
                  <w14:uncheckedState w14:val="00A3" w14:font="Wingdings 2"/>
                </w14:checkbox>
              </w:sdtPr>
              <w:sdtContent>
                <w:r w:rsidR="00105028">
                  <w:rPr>
                    <w:rFonts w:hint="eastAsia"/>
                    <w:sz w:val="28"/>
                  </w:rPr>
                  <w:sym w:font="Wingdings 2" w:char="F0A3"/>
                </w:r>
              </w:sdtContent>
            </w:sdt>
            <w:r w:rsidR="00105028" w:rsidRPr="00646C12">
              <w:rPr>
                <w:rFonts w:ascii="Times New Roman" w:hAnsi="Times New Roman" w:cs="Times New Roman"/>
                <w:bCs/>
                <w:lang w:val="zh-CN"/>
              </w:rPr>
              <w:t>管线集成与设备设施</w:t>
            </w:r>
          </w:p>
          <w:p w14:paraId="6AC2DD5D" w14:textId="77777777" w:rsidR="00105028" w:rsidRPr="00646C12" w:rsidRDefault="00000000" w:rsidP="005A4BEF">
            <w:pPr>
              <w:jc w:val="left"/>
              <w:rPr>
                <w:rFonts w:ascii="Times New Roman" w:hAnsi="Times New Roman" w:cs="Times New Roman"/>
                <w:bCs/>
                <w:u w:val="single"/>
              </w:rPr>
            </w:pPr>
            <w:sdt>
              <w:sdtPr>
                <w:rPr>
                  <w:rFonts w:hint="eastAsia"/>
                  <w:sz w:val="28"/>
                </w:rPr>
                <w:id w:val="-697547297"/>
                <w14:checkbox>
                  <w14:checked w14:val="0"/>
                  <w14:checkedState w14:val="0052" w14:font="Wingdings 2"/>
                  <w14:uncheckedState w14:val="00A3" w14:font="Wingdings 2"/>
                </w14:checkbox>
              </w:sdtPr>
              <w:sdtContent>
                <w:r w:rsidR="00105028">
                  <w:rPr>
                    <w:rFonts w:hint="eastAsia"/>
                    <w:sz w:val="28"/>
                  </w:rPr>
                  <w:sym w:font="Wingdings 2" w:char="F0A3"/>
                </w:r>
              </w:sdtContent>
            </w:sdt>
            <w:r w:rsidR="00105028" w:rsidRPr="00646C12">
              <w:rPr>
                <w:rFonts w:ascii="Times New Roman" w:hAnsi="Times New Roman" w:cs="Times New Roman"/>
                <w:bCs/>
                <w:lang w:val="zh-CN"/>
              </w:rPr>
              <w:t>其他：</w:t>
            </w:r>
          </w:p>
        </w:tc>
        <w:tc>
          <w:tcPr>
            <w:tcW w:w="1559" w:type="dxa"/>
            <w:vAlign w:val="center"/>
          </w:tcPr>
          <w:p w14:paraId="50B33158" w14:textId="77777777" w:rsidR="00105028" w:rsidRPr="00646C12" w:rsidRDefault="00105028" w:rsidP="005A4BEF">
            <w:pPr>
              <w:spacing w:line="288" w:lineRule="auto"/>
              <w:jc w:val="center"/>
              <w:rPr>
                <w:rFonts w:ascii="Times New Roman" w:hAnsi="Times New Roman" w:cs="Times New Roman"/>
                <w:bCs/>
                <w:lang w:val="zh-CN"/>
              </w:rPr>
            </w:pPr>
            <w:r w:rsidRPr="00646C12">
              <w:rPr>
                <w:rFonts w:ascii="Times New Roman" w:hAnsi="Times New Roman" w:cs="Times New Roman"/>
                <w:bCs/>
                <w:szCs w:val="21"/>
                <w:lang w:val="zh-CN"/>
              </w:rPr>
              <w:t>3~8</w:t>
            </w:r>
          </w:p>
        </w:tc>
        <w:sdt>
          <w:sdtPr>
            <w:rPr>
              <w:rFonts w:ascii="Times New Roman" w:eastAsia="宋体" w:hAnsi="Times New Roman" w:cs="Times New Roman" w:hint="eastAsia"/>
              <w:szCs w:val="21"/>
            </w:rPr>
            <w:id w:val="1114634578"/>
            <w:placeholder>
              <w:docPart w:val="71DFC236CC324B34BE94F5D30D88FBE5"/>
            </w:placeholder>
            <w:text/>
          </w:sdtPr>
          <w:sdtContent>
            <w:tc>
              <w:tcPr>
                <w:tcW w:w="1331" w:type="dxa"/>
                <w:vAlign w:val="center"/>
              </w:tcPr>
              <w:p w14:paraId="0578E0C7" w14:textId="11E9896A" w:rsidR="00105028" w:rsidRPr="00646C12" w:rsidRDefault="00105028" w:rsidP="005A4BEF">
                <w:pPr>
                  <w:spacing w:line="288" w:lineRule="auto"/>
                  <w:jc w:val="center"/>
                  <w:rPr>
                    <w:rFonts w:ascii="Times New Roman" w:hAnsi="Times New Roman" w:cs="Times New Roman"/>
                    <w:bCs/>
                    <w:lang w:val="zh-CN"/>
                  </w:rPr>
                </w:pPr>
                <w:r>
                  <w:rPr>
                    <w:rFonts w:ascii="Times New Roman" w:eastAsia="宋体" w:hAnsi="Times New Roman" w:cs="Times New Roman" w:hint="eastAsia"/>
                    <w:szCs w:val="21"/>
                  </w:rPr>
                  <w:t xml:space="preserve">  </w:t>
                </w:r>
                <w:r w:rsidR="003329AF">
                  <w:rPr>
                    <w:rFonts w:ascii="Times New Roman" w:eastAsia="宋体" w:hAnsi="Times New Roman" w:cs="Times New Roman" w:hint="eastAsia"/>
                    <w:szCs w:val="21"/>
                  </w:rPr>
                  <w:t>8</w:t>
                </w:r>
              </w:p>
            </w:tc>
          </w:sdtContent>
        </w:sdt>
      </w:tr>
      <w:tr w:rsidR="00105028" w:rsidRPr="00646C12" w14:paraId="58D07911" w14:textId="77777777" w:rsidTr="005A4BEF">
        <w:trPr>
          <w:jc w:val="center"/>
        </w:trPr>
        <w:tc>
          <w:tcPr>
            <w:tcW w:w="5075" w:type="dxa"/>
            <w:gridSpan w:val="2"/>
            <w:vAlign w:val="center"/>
          </w:tcPr>
          <w:p w14:paraId="72520BDB" w14:textId="77777777" w:rsidR="00105028" w:rsidRPr="00646C12" w:rsidRDefault="00105028" w:rsidP="005A4BEF">
            <w:pPr>
              <w:spacing w:line="288" w:lineRule="auto"/>
              <w:jc w:val="center"/>
              <w:rPr>
                <w:rFonts w:ascii="Times New Roman" w:hAnsi="Times New Roman" w:cs="Times New Roman"/>
                <w:bCs/>
                <w:lang w:val="zh-CN"/>
              </w:rPr>
            </w:pPr>
            <w:r w:rsidRPr="00646C12">
              <w:rPr>
                <w:rFonts w:ascii="Times New Roman" w:hAnsi="Times New Roman" w:cs="Times New Roman"/>
                <w:bCs/>
                <w:lang w:val="zh-CN"/>
              </w:rPr>
              <w:t>合计</w:t>
            </w:r>
          </w:p>
        </w:tc>
        <w:tc>
          <w:tcPr>
            <w:tcW w:w="1559" w:type="dxa"/>
            <w:vAlign w:val="center"/>
          </w:tcPr>
          <w:p w14:paraId="509DD09C" w14:textId="77777777" w:rsidR="00105028" w:rsidRPr="00646C12" w:rsidRDefault="00105028" w:rsidP="005A4BEF">
            <w:pPr>
              <w:spacing w:line="288" w:lineRule="auto"/>
              <w:jc w:val="center"/>
              <w:rPr>
                <w:rFonts w:ascii="Times New Roman" w:hAnsi="Times New Roman" w:cs="Times New Roman"/>
                <w:bCs/>
                <w:lang w:val="zh-CN"/>
              </w:rPr>
            </w:pPr>
            <w:r w:rsidRPr="00646C12">
              <w:rPr>
                <w:rFonts w:ascii="Times New Roman" w:hAnsi="Times New Roman" w:cs="Times New Roman"/>
                <w:bCs/>
                <w:lang w:val="zh-CN"/>
              </w:rPr>
              <w:t>8</w:t>
            </w:r>
          </w:p>
        </w:tc>
        <w:sdt>
          <w:sdtPr>
            <w:rPr>
              <w:rFonts w:ascii="Times New Roman" w:eastAsia="宋体" w:hAnsi="Times New Roman" w:cs="Times New Roman" w:hint="eastAsia"/>
              <w:szCs w:val="21"/>
            </w:rPr>
            <w:id w:val="766666805"/>
            <w:placeholder>
              <w:docPart w:val="8F83B6041AD34F68993B90E6ED85AC05"/>
            </w:placeholder>
            <w:text/>
          </w:sdtPr>
          <w:sdtContent>
            <w:tc>
              <w:tcPr>
                <w:tcW w:w="1331" w:type="dxa"/>
                <w:vAlign w:val="center"/>
              </w:tcPr>
              <w:p w14:paraId="5158DAD8" w14:textId="47495BF5" w:rsidR="00105028" w:rsidRPr="00646C12" w:rsidRDefault="00105028" w:rsidP="005A4BEF">
                <w:pPr>
                  <w:spacing w:line="288" w:lineRule="auto"/>
                  <w:jc w:val="center"/>
                  <w:rPr>
                    <w:rFonts w:ascii="Times New Roman" w:hAnsi="Times New Roman" w:cs="Times New Roman"/>
                    <w:bCs/>
                    <w:lang w:val="zh-CN"/>
                  </w:rPr>
                </w:pPr>
                <w:r>
                  <w:rPr>
                    <w:rFonts w:ascii="Times New Roman" w:eastAsia="宋体" w:hAnsi="Times New Roman" w:cs="Times New Roman" w:hint="eastAsia"/>
                    <w:szCs w:val="21"/>
                  </w:rPr>
                  <w:t xml:space="preserve">  </w:t>
                </w:r>
                <w:r w:rsidR="003329AF">
                  <w:rPr>
                    <w:rFonts w:ascii="Times New Roman" w:eastAsia="宋体" w:hAnsi="Times New Roman" w:cs="Times New Roman" w:hint="eastAsia"/>
                    <w:szCs w:val="21"/>
                  </w:rPr>
                  <w:t>8</w:t>
                </w:r>
              </w:p>
            </w:tc>
          </w:sdtContent>
        </w:sdt>
      </w:tr>
    </w:tbl>
    <w:p w14:paraId="50C170E5" w14:textId="77777777" w:rsidR="00105028" w:rsidRPr="00547320" w:rsidRDefault="00105028" w:rsidP="00105028">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2814D45D" w14:textId="77777777" w:rsidR="00105028" w:rsidRPr="00547320" w:rsidRDefault="00105028" w:rsidP="00105028">
      <w:pPr>
        <w:rPr>
          <w:rFonts w:ascii="Times New Roman" w:eastAsia="宋体" w:hAnsi="Times New Roman" w:cs="Times New Roman"/>
          <w:szCs w:val="21"/>
        </w:rPr>
      </w:pPr>
      <w:r>
        <w:rPr>
          <w:rFonts w:cs="宋体" w:hint="eastAsia"/>
          <w:lang w:val="zh-CN"/>
        </w:rPr>
        <w:t>请</w:t>
      </w:r>
      <w:r w:rsidRPr="00904F6F">
        <w:rPr>
          <w:rFonts w:cs="宋体" w:hint="eastAsia"/>
          <w:lang w:val="zh-CN"/>
        </w:rPr>
        <w:t>简要说明本项目</w:t>
      </w:r>
      <w:r>
        <w:rPr>
          <w:rFonts w:cs="宋体" w:hint="eastAsia"/>
          <w:lang w:val="zh-CN"/>
        </w:rPr>
        <w:t>装修</w:t>
      </w:r>
      <w:r w:rsidRPr="00904F6F">
        <w:rPr>
          <w:rFonts w:cs="宋体" w:hint="eastAsia"/>
          <w:lang w:val="zh-CN"/>
        </w:rPr>
        <w:t>采用</w:t>
      </w:r>
      <w:r w:rsidRPr="000C0615">
        <w:rPr>
          <w:rFonts w:hint="eastAsia"/>
        </w:rPr>
        <w:t>工业化内装部品</w:t>
      </w:r>
      <w:r w:rsidRPr="00904F6F">
        <w:rPr>
          <w:rFonts w:cs="宋体" w:hint="eastAsia"/>
          <w:lang w:val="zh-CN"/>
        </w:rPr>
        <w:t>的</w:t>
      </w:r>
      <w:r>
        <w:rPr>
          <w:rFonts w:cs="宋体" w:hint="eastAsia"/>
          <w:lang w:val="zh-CN"/>
        </w:rPr>
        <w:t>情况。</w:t>
      </w:r>
    </w:p>
    <w:tbl>
      <w:tblPr>
        <w:tblStyle w:val="1"/>
        <w:tblW w:w="0" w:type="auto"/>
        <w:jc w:val="center"/>
        <w:tblLook w:val="04A0" w:firstRow="1" w:lastRow="0" w:firstColumn="1" w:lastColumn="0" w:noHBand="0" w:noVBand="1"/>
      </w:tblPr>
      <w:tblGrid>
        <w:gridCol w:w="8272"/>
      </w:tblGrid>
      <w:tr w:rsidR="00105028" w:rsidRPr="00547320" w14:paraId="70669DE2" w14:textId="77777777" w:rsidTr="00AC5435">
        <w:trPr>
          <w:trHeight w:val="2634"/>
          <w:jc w:val="center"/>
        </w:trPr>
        <w:tc>
          <w:tcPr>
            <w:tcW w:w="8272" w:type="dxa"/>
          </w:tcPr>
          <w:p w14:paraId="4223BF17" w14:textId="1927D2EF" w:rsidR="00105028" w:rsidRPr="003329AF" w:rsidRDefault="003329AF" w:rsidP="003329AF">
            <w:pPr>
              <w:pStyle w:val="a9"/>
              <w:rPr>
                <w:rFonts w:hint="eastAsia"/>
              </w:rPr>
            </w:pPr>
            <w:r>
              <w:rPr>
                <w:rStyle w:val="citation-332"/>
              </w:rPr>
              <w:t xml:space="preserve">本项目（西部科技影视基地）包含高级人才公寓与数字化影视产业楼，室内装修全面采用装配式工业化内装部品，有效减少了现场湿作业与建筑垃圾。本项目共有 4 种部品用量比例达到 50% 以上，满足获取 8 分满分的要求 </w:t>
            </w:r>
            <w:r>
              <w:t xml:space="preserve">。具体情况如下： </w:t>
            </w:r>
            <w:r>
              <w:rPr>
                <w:b/>
                <w:bCs/>
              </w:rPr>
              <w:t>1. 整体卫浴：</w:t>
            </w:r>
            <w:r>
              <w:t xml:space="preserve"> 园区内高级人才公寓的卫生间，全面采用工厂预制的标准化防水底盘与壁板拼装的整体卫浴系统，同类部品应用比例达 85%。 </w:t>
            </w:r>
            <w:r>
              <w:rPr>
                <w:b/>
                <w:bCs/>
              </w:rPr>
              <w:t>2. 装配式吊顶：</w:t>
            </w:r>
            <w:r>
              <w:t xml:space="preserve"> 影视产业楼办公区、走廊及配套区，全部采用铝扣板、矿棉板及轻钢龙骨装配式吊顶，同类部品应用比例达 90%。 </w:t>
            </w:r>
            <w:r>
              <w:rPr>
                <w:b/>
                <w:bCs/>
              </w:rPr>
              <w:t>3. 干式工法地面：</w:t>
            </w:r>
            <w:r>
              <w:t xml:space="preserve"> 数字影棚控制室、数据中心机房及部分产业研发楼大面积采用架空防静电网络地板（干式工法），同类部品应用比例达 65%。 </w:t>
            </w:r>
            <w:r>
              <w:rPr>
                <w:b/>
                <w:bCs/>
              </w:rPr>
              <w:t>4. 装配式内墙：</w:t>
            </w:r>
            <w:r>
              <w:t xml:space="preserve"> 产业楼内部办公区隔断大量采用轻钢龙骨石膏板及工厂预制的成品铝合金玻璃隔断墙，同类部品应用比例达 75%。</w:t>
            </w:r>
          </w:p>
        </w:tc>
      </w:tr>
    </w:tbl>
    <w:p w14:paraId="2BC3E0B6" w14:textId="77777777" w:rsidR="00105028" w:rsidRPr="00547320" w:rsidRDefault="00105028" w:rsidP="00105028">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14907877" w14:textId="77777777" w:rsidR="00105028" w:rsidRPr="00547320" w:rsidRDefault="00105028" w:rsidP="00105028">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056A389D" w14:textId="77777777" w:rsidR="00105028" w:rsidRPr="00397117" w:rsidRDefault="00105028" w:rsidP="00105028">
      <w:pPr>
        <w:rPr>
          <w:rFonts w:ascii="Times New Roman" w:eastAsiaTheme="majorEastAsia" w:hAnsi="Times New Roman" w:cs="Times New Roman"/>
        </w:rPr>
      </w:pPr>
      <w:r w:rsidRPr="00397117">
        <w:rPr>
          <w:rFonts w:ascii="Times New Roman" w:eastAsiaTheme="majorEastAsia" w:hAnsi="Times New Roman" w:cs="Times New Roman" w:hint="eastAsia"/>
        </w:rPr>
        <w:t>1</w:t>
      </w:r>
      <w:r w:rsidRPr="00397117">
        <w:rPr>
          <w:rFonts w:ascii="Times New Roman" w:eastAsiaTheme="majorEastAsia" w:hAnsi="Times New Roman" w:cs="Times New Roman" w:hint="eastAsia"/>
        </w:rPr>
        <w:t>）建筑、装修竣工图及设计说明</w:t>
      </w:r>
      <w:r w:rsidRPr="00397117">
        <w:rPr>
          <w:rFonts w:ascii="Times New Roman" w:eastAsiaTheme="majorEastAsia" w:hAnsi="Times New Roman" w:cs="Times New Roman"/>
        </w:rPr>
        <w:t>；</w:t>
      </w:r>
    </w:p>
    <w:p w14:paraId="570A882B" w14:textId="77777777" w:rsidR="00105028" w:rsidRPr="00397117" w:rsidRDefault="00105028" w:rsidP="00105028">
      <w:pPr>
        <w:rPr>
          <w:rFonts w:ascii="Times New Roman" w:eastAsiaTheme="majorEastAsia" w:hAnsi="Times New Roman" w:cs="Times New Roman"/>
        </w:rPr>
      </w:pPr>
      <w:r w:rsidRPr="00397117">
        <w:rPr>
          <w:rFonts w:ascii="Times New Roman" w:eastAsiaTheme="majorEastAsia" w:hAnsi="Times New Roman" w:cs="Times New Roman"/>
        </w:rPr>
        <w:t>2</w:t>
      </w:r>
      <w:r w:rsidRPr="00397117">
        <w:rPr>
          <w:rFonts w:ascii="Times New Roman" w:eastAsiaTheme="majorEastAsia" w:hAnsi="Times New Roman" w:cs="Times New Roman" w:hint="eastAsia"/>
        </w:rPr>
        <w:t>）工业化内装部品应用情况报告，应包含部品类型、用量及比例</w:t>
      </w:r>
      <w:r>
        <w:rPr>
          <w:rFonts w:ascii="Times New Roman" w:eastAsiaTheme="majorEastAsia" w:hAnsi="Times New Roman" w:cs="Times New Roman" w:hint="eastAsia"/>
        </w:rPr>
        <w:t>计算书</w:t>
      </w:r>
      <w:r w:rsidRPr="00397117">
        <w:rPr>
          <w:rFonts w:ascii="Times New Roman" w:eastAsiaTheme="majorEastAsia" w:hAnsi="Times New Roman" w:cs="Times New Roman" w:hint="eastAsia"/>
        </w:rPr>
        <w:t>。</w:t>
      </w:r>
    </w:p>
    <w:p w14:paraId="4A16CF1C" w14:textId="77777777" w:rsidR="00105028" w:rsidRDefault="00105028" w:rsidP="00105028">
      <w:pPr>
        <w:spacing w:line="288" w:lineRule="auto"/>
        <w:rPr>
          <w:rFonts w:cs="宋体"/>
        </w:rPr>
      </w:pPr>
    </w:p>
    <w:p w14:paraId="681437D1" w14:textId="77777777" w:rsidR="00105028" w:rsidRPr="00547320" w:rsidRDefault="00105028" w:rsidP="00105028">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
        <w:tblW w:w="0" w:type="auto"/>
        <w:jc w:val="center"/>
        <w:tblLook w:val="04A0" w:firstRow="1" w:lastRow="0" w:firstColumn="1" w:lastColumn="0" w:noHBand="0" w:noVBand="1"/>
      </w:tblPr>
      <w:tblGrid>
        <w:gridCol w:w="8296"/>
      </w:tblGrid>
      <w:tr w:rsidR="00105028" w:rsidRPr="00547320" w14:paraId="381487BA" w14:textId="77777777" w:rsidTr="00AC5435">
        <w:trPr>
          <w:trHeight w:val="2634"/>
          <w:jc w:val="center"/>
        </w:trPr>
        <w:tc>
          <w:tcPr>
            <w:tcW w:w="9356" w:type="dxa"/>
          </w:tcPr>
          <w:p w14:paraId="40D2C445" w14:textId="77777777" w:rsidR="003329AF" w:rsidRDefault="003329AF" w:rsidP="003329AF">
            <w:pPr>
              <w:pStyle w:val="a9"/>
            </w:pPr>
            <w:r>
              <w:rPr>
                <w:b/>
                <w:bCs/>
              </w:rPr>
              <w:lastRenderedPageBreak/>
              <w:t>一、 评价依据与项目概况</w:t>
            </w:r>
          </w:p>
          <w:p w14:paraId="70C06B92" w14:textId="77777777" w:rsidR="003329AF" w:rsidRDefault="003329AF" w:rsidP="003329AF">
            <w:pPr>
              <w:pStyle w:val="a9"/>
              <w:numPr>
                <w:ilvl w:val="0"/>
                <w:numId w:val="1"/>
              </w:numPr>
            </w:pPr>
            <w:r>
              <w:rPr>
                <w:b/>
                <w:bCs/>
              </w:rPr>
              <w:t>项目名称：</w:t>
            </w:r>
            <w:r>
              <w:t xml:space="preserve"> 西部科技影视基地</w:t>
            </w:r>
          </w:p>
          <w:p w14:paraId="20EBBE72" w14:textId="77777777" w:rsidR="003329AF" w:rsidRDefault="003329AF" w:rsidP="003329AF">
            <w:pPr>
              <w:pStyle w:val="a9"/>
              <w:numPr>
                <w:ilvl w:val="0"/>
                <w:numId w:val="1"/>
              </w:numPr>
            </w:pPr>
            <w:r>
              <w:rPr>
                <w:b/>
                <w:bCs/>
              </w:rPr>
              <w:t>评估目标：</w:t>
            </w:r>
            <w:r>
              <w:t xml:space="preserve"> 建筑装修选用工业化内装部品占同类部品用量比例达到 50% 以上的部品种类 ≥ 4 种。</w:t>
            </w:r>
          </w:p>
          <w:p w14:paraId="0EF5DF61" w14:textId="77777777" w:rsidR="003329AF" w:rsidRDefault="003329AF" w:rsidP="003329AF">
            <w:pPr>
              <w:pStyle w:val="a9"/>
            </w:pPr>
            <w:r>
              <w:rPr>
                <w:b/>
                <w:bCs/>
              </w:rPr>
              <w:t>二、 工业化内装部品用量与比例核算</w:t>
            </w:r>
            <w:r>
              <w:t xml:space="preserve"> 经核算本项目装修竣工图纸及材料工程量清单，各项工业化内装部品分类计算如下：</w:t>
            </w:r>
          </w:p>
          <w:p w14:paraId="0987360D" w14:textId="77777777" w:rsidR="003329AF" w:rsidRDefault="003329AF" w:rsidP="003329AF">
            <w:pPr>
              <w:pStyle w:val="a9"/>
            </w:pPr>
            <w:r>
              <w:rPr>
                <w:b/>
                <w:bCs/>
              </w:rPr>
              <w:t>1. 整体卫浴应用比例计算</w:t>
            </w:r>
          </w:p>
          <w:p w14:paraId="233151D6" w14:textId="77777777" w:rsidR="003329AF" w:rsidRDefault="003329AF" w:rsidP="003329AF">
            <w:pPr>
              <w:pStyle w:val="a9"/>
              <w:numPr>
                <w:ilvl w:val="0"/>
                <w:numId w:val="2"/>
              </w:numPr>
            </w:pPr>
            <w:r>
              <w:t>全区卫生间总数量： 320 个</w:t>
            </w:r>
          </w:p>
          <w:p w14:paraId="361D52AA" w14:textId="77777777" w:rsidR="003329AF" w:rsidRDefault="003329AF" w:rsidP="003329AF">
            <w:pPr>
              <w:pStyle w:val="a9"/>
              <w:numPr>
                <w:ilvl w:val="0"/>
                <w:numId w:val="2"/>
              </w:numPr>
            </w:pPr>
            <w:r>
              <w:t>采用装配式整体卫浴数量： 272 个（主要分布于人才公寓及部分高管办公区）</w:t>
            </w:r>
          </w:p>
          <w:p w14:paraId="1DF90805" w14:textId="77777777" w:rsidR="003329AF" w:rsidRDefault="003329AF" w:rsidP="003329AF">
            <w:pPr>
              <w:pStyle w:val="a9"/>
              <w:numPr>
                <w:ilvl w:val="0"/>
                <w:numId w:val="2"/>
              </w:numPr>
            </w:pPr>
            <w:r>
              <w:rPr>
                <w:b/>
                <w:bCs/>
              </w:rPr>
              <w:t>应用比例：</w:t>
            </w:r>
            <w:r>
              <w:t xml:space="preserve"> 272 / 320 × 100% = </w:t>
            </w:r>
            <w:r>
              <w:rPr>
                <w:b/>
                <w:bCs/>
              </w:rPr>
              <w:t>85.0%</w:t>
            </w:r>
            <w:r>
              <w:t xml:space="preserve"> (≥50%)</w:t>
            </w:r>
          </w:p>
          <w:p w14:paraId="75B56D7F" w14:textId="77777777" w:rsidR="003329AF" w:rsidRDefault="003329AF" w:rsidP="003329AF">
            <w:pPr>
              <w:pStyle w:val="a9"/>
            </w:pPr>
            <w:r>
              <w:rPr>
                <w:b/>
                <w:bCs/>
              </w:rPr>
              <w:t>2. 装配式吊顶应用比例计算</w:t>
            </w:r>
          </w:p>
          <w:p w14:paraId="4C369E7E" w14:textId="77777777" w:rsidR="003329AF" w:rsidRDefault="003329AF" w:rsidP="003329AF">
            <w:pPr>
              <w:pStyle w:val="a9"/>
              <w:numPr>
                <w:ilvl w:val="0"/>
                <w:numId w:val="3"/>
              </w:numPr>
            </w:pPr>
            <w:r>
              <w:t>全区需吊顶总面积： 45,000 m²</w:t>
            </w:r>
          </w:p>
          <w:p w14:paraId="666B1D44" w14:textId="77777777" w:rsidR="003329AF" w:rsidRDefault="003329AF" w:rsidP="003329AF">
            <w:pPr>
              <w:pStyle w:val="a9"/>
              <w:numPr>
                <w:ilvl w:val="0"/>
                <w:numId w:val="3"/>
              </w:numPr>
            </w:pPr>
            <w:r>
              <w:t>采用装配式吊顶（矿棉板、铝扣板等）面积： 40,500 m²</w:t>
            </w:r>
          </w:p>
          <w:p w14:paraId="364E9D35" w14:textId="77777777" w:rsidR="003329AF" w:rsidRDefault="003329AF" w:rsidP="003329AF">
            <w:pPr>
              <w:pStyle w:val="a9"/>
              <w:numPr>
                <w:ilvl w:val="0"/>
                <w:numId w:val="3"/>
              </w:numPr>
            </w:pPr>
            <w:r>
              <w:rPr>
                <w:b/>
                <w:bCs/>
              </w:rPr>
              <w:t>应用比例：</w:t>
            </w:r>
            <w:r>
              <w:t xml:space="preserve"> 40,500 / 45,000 × 100% = </w:t>
            </w:r>
            <w:r>
              <w:rPr>
                <w:b/>
                <w:bCs/>
              </w:rPr>
              <w:t>90.0%</w:t>
            </w:r>
            <w:r>
              <w:t xml:space="preserve"> (≥50%)</w:t>
            </w:r>
          </w:p>
          <w:p w14:paraId="00F1DC7D" w14:textId="77777777" w:rsidR="003329AF" w:rsidRDefault="003329AF" w:rsidP="003329AF">
            <w:pPr>
              <w:pStyle w:val="a9"/>
            </w:pPr>
            <w:r>
              <w:rPr>
                <w:b/>
                <w:bCs/>
              </w:rPr>
              <w:t>3. 干式工法地面应用比例计算</w:t>
            </w:r>
          </w:p>
          <w:p w14:paraId="59A45FE8" w14:textId="77777777" w:rsidR="003329AF" w:rsidRDefault="003329AF" w:rsidP="003329AF">
            <w:pPr>
              <w:pStyle w:val="a9"/>
              <w:numPr>
                <w:ilvl w:val="0"/>
                <w:numId w:val="4"/>
              </w:numPr>
            </w:pPr>
            <w:r>
              <w:t>全区机房及特定办公区地面总面积： 12,000 m²</w:t>
            </w:r>
          </w:p>
          <w:p w14:paraId="12001F7A" w14:textId="77777777" w:rsidR="003329AF" w:rsidRDefault="003329AF" w:rsidP="003329AF">
            <w:pPr>
              <w:pStyle w:val="a9"/>
              <w:numPr>
                <w:ilvl w:val="0"/>
                <w:numId w:val="4"/>
              </w:numPr>
            </w:pPr>
            <w:r>
              <w:t>采用架空地板（干式工法）面积： 7,800 m²</w:t>
            </w:r>
          </w:p>
          <w:p w14:paraId="29C4423F" w14:textId="77777777" w:rsidR="003329AF" w:rsidRDefault="003329AF" w:rsidP="003329AF">
            <w:pPr>
              <w:pStyle w:val="a9"/>
              <w:numPr>
                <w:ilvl w:val="0"/>
                <w:numId w:val="4"/>
              </w:numPr>
            </w:pPr>
            <w:r>
              <w:rPr>
                <w:b/>
                <w:bCs/>
              </w:rPr>
              <w:t>应用比例：</w:t>
            </w:r>
            <w:r>
              <w:t xml:space="preserve"> 7,800 / 12,000 × 100% = </w:t>
            </w:r>
            <w:r>
              <w:rPr>
                <w:b/>
                <w:bCs/>
              </w:rPr>
              <w:t>65.0%</w:t>
            </w:r>
            <w:r>
              <w:t xml:space="preserve"> (≥50%)</w:t>
            </w:r>
          </w:p>
          <w:p w14:paraId="692E23D4" w14:textId="77777777" w:rsidR="003329AF" w:rsidRDefault="003329AF" w:rsidP="003329AF">
            <w:pPr>
              <w:pStyle w:val="a9"/>
            </w:pPr>
            <w:r>
              <w:rPr>
                <w:b/>
                <w:bCs/>
              </w:rPr>
              <w:t>4. 装配式内墙应用比例计算</w:t>
            </w:r>
          </w:p>
          <w:p w14:paraId="2A217E05" w14:textId="77777777" w:rsidR="003329AF" w:rsidRDefault="003329AF" w:rsidP="003329AF">
            <w:pPr>
              <w:pStyle w:val="a9"/>
              <w:numPr>
                <w:ilvl w:val="0"/>
                <w:numId w:val="5"/>
              </w:numPr>
            </w:pPr>
            <w:r>
              <w:t>全区非承重内隔墙总面积： 28,000 m²</w:t>
            </w:r>
          </w:p>
          <w:p w14:paraId="61EC3EE9" w14:textId="77777777" w:rsidR="003329AF" w:rsidRDefault="003329AF" w:rsidP="003329AF">
            <w:pPr>
              <w:pStyle w:val="a9"/>
              <w:numPr>
                <w:ilvl w:val="0"/>
                <w:numId w:val="5"/>
              </w:numPr>
            </w:pPr>
            <w:r>
              <w:t>采用预制轻钢龙骨隔墙及成品玻璃隔断面积： 21,000 m²</w:t>
            </w:r>
          </w:p>
          <w:p w14:paraId="3F365A38" w14:textId="77777777" w:rsidR="003329AF" w:rsidRDefault="003329AF" w:rsidP="003329AF">
            <w:pPr>
              <w:pStyle w:val="a9"/>
              <w:numPr>
                <w:ilvl w:val="0"/>
                <w:numId w:val="5"/>
              </w:numPr>
            </w:pPr>
            <w:r>
              <w:rPr>
                <w:b/>
                <w:bCs/>
              </w:rPr>
              <w:t>应用比例：</w:t>
            </w:r>
            <w:r>
              <w:t xml:space="preserve"> 21,000 / 28,000 × 100% = </w:t>
            </w:r>
            <w:r>
              <w:rPr>
                <w:b/>
                <w:bCs/>
              </w:rPr>
              <w:t>75.0%</w:t>
            </w:r>
            <w:r>
              <w:t xml:space="preserve"> (≥50%)</w:t>
            </w:r>
          </w:p>
          <w:p w14:paraId="232FED90" w14:textId="77777777" w:rsidR="003329AF" w:rsidRDefault="003329AF" w:rsidP="003329AF">
            <w:pPr>
              <w:pStyle w:val="a9"/>
            </w:pPr>
            <w:r>
              <w:rPr>
                <w:b/>
                <w:bCs/>
              </w:rPr>
              <w:t>三、 结论</w:t>
            </w:r>
            <w:r>
              <w:t xml:space="preserve"> 经系统核算，本项目共有整体卫浴、装配式吊顶、干式工法地面、装配式内墙等 </w:t>
            </w:r>
            <w:r>
              <w:rPr>
                <w:b/>
                <w:bCs/>
              </w:rPr>
              <w:t>4 种</w:t>
            </w:r>
            <w:r>
              <w:t>工业化内装部品的应用比例超过 50%，符合《绿色建筑评价标准》第 7.2.16 条获得 8 分满分的要求。</w:t>
            </w:r>
          </w:p>
          <w:p w14:paraId="6AAE342D" w14:textId="77777777" w:rsidR="00105028" w:rsidRPr="003329AF" w:rsidRDefault="00105028" w:rsidP="005A4BEF">
            <w:pPr>
              <w:rPr>
                <w:szCs w:val="21"/>
              </w:rPr>
            </w:pPr>
          </w:p>
        </w:tc>
      </w:tr>
    </w:tbl>
    <w:p w14:paraId="06A7BB32" w14:textId="77777777" w:rsidR="00074A38" w:rsidRDefault="00074A38"/>
    <w:sectPr w:rsidR="00074A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4ED17" w14:textId="77777777" w:rsidR="006B4A90" w:rsidRDefault="006B4A90" w:rsidP="00105028">
      <w:r>
        <w:separator/>
      </w:r>
    </w:p>
  </w:endnote>
  <w:endnote w:type="continuationSeparator" w:id="0">
    <w:p w14:paraId="2DBBD640" w14:textId="77777777" w:rsidR="006B4A90" w:rsidRDefault="006B4A90" w:rsidP="00105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0"/>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65A1A" w14:textId="77777777" w:rsidR="006B4A90" w:rsidRDefault="006B4A90" w:rsidP="00105028">
      <w:r>
        <w:separator/>
      </w:r>
    </w:p>
  </w:footnote>
  <w:footnote w:type="continuationSeparator" w:id="0">
    <w:p w14:paraId="71E7ABE6" w14:textId="77777777" w:rsidR="006B4A90" w:rsidRDefault="006B4A90" w:rsidP="001050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03CCE"/>
    <w:multiLevelType w:val="multilevel"/>
    <w:tmpl w:val="F104C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74422B"/>
    <w:multiLevelType w:val="multilevel"/>
    <w:tmpl w:val="73EA6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D96E7B"/>
    <w:multiLevelType w:val="multilevel"/>
    <w:tmpl w:val="88FA7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A33D8E"/>
    <w:multiLevelType w:val="multilevel"/>
    <w:tmpl w:val="8550E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D22C1E"/>
    <w:multiLevelType w:val="multilevel"/>
    <w:tmpl w:val="7FF8A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422989">
    <w:abstractNumId w:val="1"/>
  </w:num>
  <w:num w:numId="2" w16cid:durableId="935333152">
    <w:abstractNumId w:val="4"/>
  </w:num>
  <w:num w:numId="3" w16cid:durableId="937560941">
    <w:abstractNumId w:val="2"/>
  </w:num>
  <w:num w:numId="4" w16cid:durableId="1555314395">
    <w:abstractNumId w:val="3"/>
  </w:num>
  <w:num w:numId="5" w16cid:durableId="1531914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C57"/>
    <w:rsid w:val="00074A38"/>
    <w:rsid w:val="000C2C57"/>
    <w:rsid w:val="000F688D"/>
    <w:rsid w:val="00105028"/>
    <w:rsid w:val="001619C6"/>
    <w:rsid w:val="003329AF"/>
    <w:rsid w:val="006866D0"/>
    <w:rsid w:val="006B4A90"/>
    <w:rsid w:val="00AC54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F836B"/>
  <w15:chartTrackingRefBased/>
  <w15:docId w15:val="{D305F612-48CE-475A-B57C-1D15BAE86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5028"/>
    <w:pPr>
      <w:widowControl w:val="0"/>
      <w:jc w:val="both"/>
    </w:pPr>
  </w:style>
  <w:style w:type="paragraph" w:styleId="3">
    <w:name w:val="heading 3"/>
    <w:basedOn w:val="a"/>
    <w:next w:val="a"/>
    <w:link w:val="30"/>
    <w:uiPriority w:val="9"/>
    <w:semiHidden/>
    <w:unhideWhenUsed/>
    <w:qFormat/>
    <w:rsid w:val="00105028"/>
    <w:pPr>
      <w:keepNext/>
      <w:keepLines/>
      <w:spacing w:before="260" w:after="260" w:line="416" w:lineRule="auto"/>
      <w:outlineLvl w:val="2"/>
    </w:pPr>
    <w:rPr>
      <w:b/>
      <w:bCs/>
      <w:sz w:val="32"/>
      <w:szCs w:val="32"/>
    </w:rPr>
  </w:style>
  <w:style w:type="paragraph" w:styleId="4">
    <w:name w:val="heading 4"/>
    <w:basedOn w:val="3"/>
    <w:next w:val="a"/>
    <w:link w:val="40"/>
    <w:unhideWhenUsed/>
    <w:qFormat/>
    <w:rsid w:val="00105028"/>
    <w:pPr>
      <w:spacing w:line="240" w:lineRule="auto"/>
      <w:jc w:val="left"/>
      <w:outlineLvl w:val="3"/>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502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05028"/>
    <w:rPr>
      <w:sz w:val="18"/>
      <w:szCs w:val="18"/>
    </w:rPr>
  </w:style>
  <w:style w:type="paragraph" w:styleId="a5">
    <w:name w:val="footer"/>
    <w:basedOn w:val="a"/>
    <w:link w:val="a6"/>
    <w:uiPriority w:val="99"/>
    <w:unhideWhenUsed/>
    <w:rsid w:val="00105028"/>
    <w:pPr>
      <w:tabs>
        <w:tab w:val="center" w:pos="4153"/>
        <w:tab w:val="right" w:pos="8306"/>
      </w:tabs>
      <w:snapToGrid w:val="0"/>
      <w:jc w:val="left"/>
    </w:pPr>
    <w:rPr>
      <w:sz w:val="18"/>
      <w:szCs w:val="18"/>
    </w:rPr>
  </w:style>
  <w:style w:type="character" w:customStyle="1" w:styleId="a6">
    <w:name w:val="页脚 字符"/>
    <w:basedOn w:val="a0"/>
    <w:link w:val="a5"/>
    <w:uiPriority w:val="99"/>
    <w:rsid w:val="00105028"/>
    <w:rPr>
      <w:sz w:val="18"/>
      <w:szCs w:val="18"/>
    </w:rPr>
  </w:style>
  <w:style w:type="character" w:customStyle="1" w:styleId="40">
    <w:name w:val="标题 4 字符"/>
    <w:basedOn w:val="a0"/>
    <w:link w:val="4"/>
    <w:rsid w:val="00105028"/>
    <w:rPr>
      <w:rFonts w:ascii="Times New Roman" w:eastAsia="宋体" w:hAnsi="Times New Roman" w:cs="Times New Roman"/>
      <w:b/>
      <w:bCs/>
      <w:szCs w:val="32"/>
    </w:rPr>
  </w:style>
  <w:style w:type="table" w:styleId="a7">
    <w:name w:val="Table Grid"/>
    <w:basedOn w:val="a1"/>
    <w:uiPriority w:val="59"/>
    <w:rsid w:val="001050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105028"/>
    <w:rPr>
      <w:color w:val="808080"/>
    </w:rPr>
  </w:style>
  <w:style w:type="table" w:customStyle="1" w:styleId="1">
    <w:name w:val="网格型1"/>
    <w:basedOn w:val="a1"/>
    <w:next w:val="a7"/>
    <w:uiPriority w:val="59"/>
    <w:rsid w:val="00105028"/>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样式1"/>
    <w:basedOn w:val="a0"/>
    <w:uiPriority w:val="1"/>
    <w:rsid w:val="00105028"/>
    <w:rPr>
      <w:rFonts w:eastAsiaTheme="minorEastAsia"/>
      <w:sz w:val="21"/>
    </w:rPr>
  </w:style>
  <w:style w:type="character" w:customStyle="1" w:styleId="30">
    <w:name w:val="标题 3 字符"/>
    <w:basedOn w:val="a0"/>
    <w:link w:val="3"/>
    <w:uiPriority w:val="9"/>
    <w:semiHidden/>
    <w:rsid w:val="00105028"/>
    <w:rPr>
      <w:b/>
      <w:bCs/>
      <w:sz w:val="32"/>
      <w:szCs w:val="32"/>
    </w:rPr>
  </w:style>
  <w:style w:type="paragraph" w:styleId="a9">
    <w:name w:val="Normal (Web)"/>
    <w:basedOn w:val="a"/>
    <w:uiPriority w:val="99"/>
    <w:unhideWhenUsed/>
    <w:rsid w:val="003329AF"/>
    <w:pPr>
      <w:widowControl/>
      <w:spacing w:before="100" w:beforeAutospacing="1" w:after="100" w:afterAutospacing="1"/>
      <w:jc w:val="left"/>
    </w:pPr>
    <w:rPr>
      <w:rFonts w:ascii="宋体" w:eastAsia="宋体" w:hAnsi="宋体" w:cs="宋体"/>
      <w:kern w:val="0"/>
      <w:sz w:val="24"/>
      <w:szCs w:val="24"/>
    </w:rPr>
  </w:style>
  <w:style w:type="character" w:customStyle="1" w:styleId="citation-332">
    <w:name w:val="citation-332"/>
    <w:basedOn w:val="a0"/>
    <w:rsid w:val="00332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DFC236CC324B34BE94F5D30D88FBE5"/>
        <w:category>
          <w:name w:val="常规"/>
          <w:gallery w:val="placeholder"/>
        </w:category>
        <w:types>
          <w:type w:val="bbPlcHdr"/>
        </w:types>
        <w:behaviors>
          <w:behavior w:val="content"/>
        </w:behaviors>
        <w:guid w:val="{B387BE20-F121-4457-B02F-0351EB1CF953}"/>
      </w:docPartPr>
      <w:docPartBody>
        <w:p w:rsidR="009F4131" w:rsidRDefault="00F85D03" w:rsidP="00F85D03">
          <w:pPr>
            <w:pStyle w:val="71DFC236CC324B34BE94F5D30D88FBE5"/>
          </w:pPr>
          <w:r w:rsidRPr="00D61CCF">
            <w:rPr>
              <w:rStyle w:val="a3"/>
              <w:rFonts w:hint="eastAsia"/>
            </w:rPr>
            <w:t>单击此处输入文字。</w:t>
          </w:r>
        </w:p>
      </w:docPartBody>
    </w:docPart>
    <w:docPart>
      <w:docPartPr>
        <w:name w:val="8F83B6041AD34F68993B90E6ED85AC05"/>
        <w:category>
          <w:name w:val="常规"/>
          <w:gallery w:val="placeholder"/>
        </w:category>
        <w:types>
          <w:type w:val="bbPlcHdr"/>
        </w:types>
        <w:behaviors>
          <w:behavior w:val="content"/>
        </w:behaviors>
        <w:guid w:val="{54220022-4C41-405A-B7E7-340D36E24DD4}"/>
      </w:docPartPr>
      <w:docPartBody>
        <w:p w:rsidR="009F4131" w:rsidRDefault="00F85D03" w:rsidP="00F85D03">
          <w:pPr>
            <w:pStyle w:val="8F83B6041AD34F68993B90E6ED85AC05"/>
          </w:pPr>
          <w:r w:rsidRPr="00D61CCF">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0"/>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D03"/>
    <w:rsid w:val="006866D0"/>
    <w:rsid w:val="00833BC1"/>
    <w:rsid w:val="009F4131"/>
    <w:rsid w:val="00B4459D"/>
    <w:rsid w:val="00B6571C"/>
    <w:rsid w:val="00F85D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85D03"/>
    <w:rPr>
      <w:color w:val="808080"/>
    </w:rPr>
  </w:style>
  <w:style w:type="paragraph" w:customStyle="1" w:styleId="71DFC236CC324B34BE94F5D30D88FBE5">
    <w:name w:val="71DFC236CC324B34BE94F5D30D88FBE5"/>
    <w:rsid w:val="00F85D03"/>
    <w:pPr>
      <w:widowControl w:val="0"/>
      <w:jc w:val="both"/>
    </w:pPr>
  </w:style>
  <w:style w:type="paragraph" w:customStyle="1" w:styleId="8F83B6041AD34F68993B90E6ED85AC05">
    <w:name w:val="8F83B6041AD34F68993B90E6ED85AC05"/>
    <w:rsid w:val="00F85D03"/>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203</Words>
  <Characters>1163</Characters>
  <Application>Microsoft Office Word</Application>
  <DocSecurity>0</DocSecurity>
  <Lines>9</Lines>
  <Paragraphs>2</Paragraphs>
  <ScaleCrop>false</ScaleCrop>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zijie wang</cp:lastModifiedBy>
  <cp:revision>5</cp:revision>
  <dcterms:created xsi:type="dcterms:W3CDTF">2019-07-12T08:12:00Z</dcterms:created>
  <dcterms:modified xsi:type="dcterms:W3CDTF">2026-03-27T09:34:00Z</dcterms:modified>
</cp:coreProperties>
</file>