
<file path=[Content_Types].xml><?xml version="1.0" encoding="utf-8"?>
<Types xmlns="http://schemas.openxmlformats.org/package/2006/content-types">
  <Default Extension="jpeg" ContentType="image/jpeg"/>
  <Default Extension="JPG" ContentType="image/.jpg"/>
  <Default Extension="bmp" ContentType="image/bmp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E0C44">
      <w:pPr>
        <w:tabs>
          <w:tab w:val="left" w:pos="2310"/>
        </w:tabs>
        <w:spacing w:line="180" w:lineRule="atLeast"/>
        <w:rPr>
          <w:rFonts w:hint="eastAsia" w:ascii="宋体" w:hAnsi="宋体"/>
          <w:b/>
          <w:bCs/>
          <w:sz w:val="32"/>
          <w:szCs w:val="32"/>
        </w:rPr>
      </w:pPr>
    </w:p>
    <w:tbl>
      <w:tblPr>
        <w:tblStyle w:val="2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0"/>
      </w:tblGrid>
      <w:tr w14:paraId="43E58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9070" w:type="dxa"/>
            <w:vAlign w:val="center"/>
          </w:tcPr>
          <w:p w14:paraId="4E81A16D">
            <w:pPr>
              <w:widowControl w:val="0"/>
              <w:spacing w:before="468" w:beforeLines="150"/>
              <w:jc w:val="center"/>
              <w:rPr>
                <w:rFonts w:hint="eastAsia" w:ascii="微软雅黑" w:hAnsi="微软雅黑" w:eastAsia="微软雅黑"/>
                <w:b/>
                <w:bCs/>
                <w:kern w:val="0"/>
                <w:sz w:val="72"/>
                <w:szCs w:val="52"/>
              </w:rPr>
            </w:pPr>
            <w:r>
              <w:rPr>
                <w:rFonts w:hint="eastAsia" w:ascii="宋体" w:hAnsi="宋体" w:eastAsia="等线"/>
                <w:b/>
                <w:bCs/>
                <w:kern w:val="2"/>
                <w:sz w:val="32"/>
                <w:szCs w:val="32"/>
              </w:rPr>
              <w:br w:type="page"/>
            </w:r>
            <w:bookmarkStart w:id="0" w:name="_Hlk172642859"/>
            <w:r>
              <w:rPr>
                <w:rFonts w:hint="eastAsia" w:ascii="微软雅黑" w:hAnsi="微软雅黑" w:eastAsia="微软雅黑"/>
                <w:b/>
                <w:bCs/>
                <w:spacing w:val="80"/>
                <w:kern w:val="0"/>
                <w:sz w:val="72"/>
                <w:szCs w:val="52"/>
                <w:fitText w:val="8640" w:id="-940382463"/>
              </w:rPr>
              <w:t>住区热环境设计报告</w:t>
            </w:r>
            <w:r>
              <w:rPr>
                <w:rFonts w:hint="eastAsia" w:ascii="微软雅黑" w:hAnsi="微软雅黑" w:eastAsia="微软雅黑"/>
                <w:b/>
                <w:bCs/>
                <w:spacing w:val="0"/>
                <w:kern w:val="0"/>
                <w:sz w:val="72"/>
                <w:szCs w:val="52"/>
                <w:fitText w:val="8640" w:id="-940382463"/>
              </w:rPr>
              <w:t>书</w:t>
            </w:r>
          </w:p>
          <w:p w14:paraId="6E295D19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bCs/>
                <w:kern w:val="2"/>
                <w:sz w:val="5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bCs/>
                <w:kern w:val="2"/>
                <w:sz w:val="52"/>
                <w:szCs w:val="52"/>
              </w:rPr>
              <w:t>（规定性设计）</w:t>
            </w:r>
          </w:p>
        </w:tc>
      </w:tr>
      <w:tr w14:paraId="3E1A5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0" w:type="dxa"/>
          </w:tcPr>
          <w:p w14:paraId="571790C9">
            <w:pPr>
              <w:widowControl w:val="0"/>
              <w:tabs>
                <w:tab w:val="left" w:pos="1813"/>
                <w:tab w:val="center" w:pos="4048"/>
              </w:tabs>
              <w:spacing w:before="312" w:beforeLines="100"/>
              <w:jc w:val="center"/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</w:rPr>
              <w:t>河口镇文化体育中心</w:t>
            </w:r>
          </w:p>
        </w:tc>
      </w:tr>
      <w:bookmarkEnd w:id="0"/>
      <w:tr w14:paraId="1C230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0" w:type="dxa"/>
          </w:tcPr>
          <w:p w14:paraId="1418F2B0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  <w:t>设计编号：BKA80618</w:t>
            </w:r>
          </w:p>
        </w:tc>
      </w:tr>
      <w:tr w14:paraId="40C35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0" w:type="dxa"/>
          </w:tcPr>
          <w:p w14:paraId="072F685D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</w:pPr>
            <w:bookmarkStart w:id="1" w:name="二维码"/>
            <w:bookmarkEnd w:id="1"/>
          </w:p>
        </w:tc>
      </w:tr>
    </w:tbl>
    <w:p w14:paraId="22336F51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2F9AE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</w:p>
    <w:p w14:paraId="2A424AA6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4C367C13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8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4BF49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142C077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58DE6DB8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68241989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2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南通</w:t>
            </w:r>
            <w:bookmarkEnd w:id="2"/>
          </w:p>
        </w:tc>
      </w:tr>
      <w:tr w14:paraId="78AF1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1C3D34E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508E15C0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75E54C5A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如东县河口镇人民政府</w:t>
            </w:r>
          </w:p>
        </w:tc>
      </w:tr>
      <w:tr w14:paraId="6A24D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FCE27B6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52D662A2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0592C1E3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南通源诚建筑设计有限公司</w:t>
            </w:r>
          </w:p>
        </w:tc>
      </w:tr>
      <w:tr w14:paraId="42F3D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354845A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7C663C85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792CB39F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卜华周</w:t>
            </w:r>
          </w:p>
        </w:tc>
      </w:tr>
      <w:tr w14:paraId="75516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097024E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5C403F4E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7C96C6D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陆春枫</w:t>
            </w:r>
          </w:p>
        </w:tc>
      </w:tr>
      <w:tr w14:paraId="5AE0E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F685B4C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71836386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588E019E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黄帆</w:t>
            </w:r>
          </w:p>
        </w:tc>
      </w:tr>
      <w:tr w14:paraId="6DBAD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016D00B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0637EF05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AD94F10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3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</w:rPr>
              <w:t>2025年12月27日</w:t>
            </w:r>
            <w:bookmarkEnd w:id="3"/>
          </w:p>
        </w:tc>
      </w:tr>
    </w:tbl>
    <w:p w14:paraId="34816261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62E6AB73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8"/>
        <w:tblW w:w="8343" w:type="dxa"/>
        <w:tblInd w:w="0" w:type="dxa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5511361E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464C5955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7A0BE3B3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: </w:t>
            </w:r>
            <w:bookmarkStart w:id="4" w:name="软件全称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住区热环境TERA2025</w:t>
            </w:r>
            <w:bookmarkEnd w:id="4"/>
          </w:p>
        </w:tc>
        <w:tc>
          <w:tcPr>
            <w:tcW w:w="3958" w:type="dxa"/>
            <w:vMerge w:val="restart"/>
            <w:vAlign w:val="bottom"/>
          </w:tcPr>
          <w:p w14:paraId="352B315B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20F140E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1055F05F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4BF32D53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bookmarkStart w:id="5" w:name="软件版本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20250505(PLUS)</w:t>
            </w:r>
            <w:bookmarkEnd w:id="5"/>
          </w:p>
        </w:tc>
        <w:tc>
          <w:tcPr>
            <w:tcW w:w="3958" w:type="dxa"/>
            <w:vMerge w:val="continue"/>
          </w:tcPr>
          <w:p w14:paraId="4B1EA790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4BFA273A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478147A2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45A5F714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bookmarkStart w:id="6" w:name="加密锁号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T19552635079</w:t>
            </w:r>
            <w:bookmarkEnd w:id="6"/>
          </w:p>
        </w:tc>
        <w:tc>
          <w:tcPr>
            <w:tcW w:w="3958" w:type="dxa"/>
            <w:vMerge w:val="continue"/>
          </w:tcPr>
          <w:p w14:paraId="0B04A352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5BCDF402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56BFBCE0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14BDD14B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5112DDA5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</w:tbl>
    <w:p w14:paraId="26F05B51">
      <w:pPr>
        <w:rPr>
          <w:sz w:val="1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284" w:left="1418" w:header="851" w:footer="992" w:gutter="0"/>
          <w:cols w:space="720" w:num="1"/>
          <w:titlePg/>
          <w:docGrid w:type="lines" w:linePitch="312" w:charSpace="0"/>
        </w:sectPr>
      </w:pPr>
    </w:p>
    <w:p w14:paraId="5F501C7F">
      <w:pPr>
        <w:tabs>
          <w:tab w:val="left" w:pos="3452"/>
        </w:tabs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1F621A6B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17D634B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bookmarkStart w:id="7" w:name="目录"/>
      <w:bookmarkEnd w:id="7"/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_Toc30892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住区概况</w:t>
      </w:r>
      <w:r>
        <w:tab/>
      </w:r>
      <w:r>
        <w:fldChar w:fldCharType="begin"/>
      </w:r>
      <w:r>
        <w:instrText xml:space="preserve"> PAGEREF _Toc30892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F0554A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_Toc22019 </w:instrText>
      </w:r>
      <w: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_Toc22019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0AFC6F3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_Toc5087 </w:instrText>
      </w:r>
      <w:r>
        <w:fldChar w:fldCharType="separate"/>
      </w:r>
      <w:r>
        <w:rPr>
          <w:rFonts w:hint="eastAsia"/>
        </w:rPr>
        <w:t>3 计算规定</w:t>
      </w:r>
      <w:r>
        <w:tab/>
      </w:r>
      <w:r>
        <w:fldChar w:fldCharType="begin"/>
      </w:r>
      <w:r>
        <w:instrText xml:space="preserve"> PAGEREF _Toc5087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935C48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_Toc10008 </w:instrText>
      </w:r>
      <w:r>
        <w:fldChar w:fldCharType="separate"/>
      </w:r>
      <w:r>
        <w:rPr>
          <w:rFonts w:hint="eastAsia"/>
          <w:lang w:val="en-GB"/>
        </w:rPr>
        <w:t xml:space="preserve">3.1 </w:t>
      </w:r>
      <w:r>
        <w:rPr>
          <w:rFonts w:hint="eastAsia"/>
        </w:rPr>
        <w:t>规定性设计</w:t>
      </w:r>
      <w:r>
        <w:tab/>
      </w:r>
      <w:r>
        <w:fldChar w:fldCharType="begin"/>
      </w:r>
      <w:r>
        <w:instrText xml:space="preserve"> PAGEREF _Toc10008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C20D9F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_Toc23476 </w:instrText>
      </w:r>
      <w:r>
        <w:fldChar w:fldCharType="separate"/>
      </w:r>
      <w:r>
        <w:rPr>
          <w:rFonts w:hint="eastAsia"/>
        </w:rPr>
        <w:t>4 计算参数</w:t>
      </w:r>
      <w:r>
        <w:tab/>
      </w:r>
      <w:r>
        <w:fldChar w:fldCharType="begin"/>
      </w:r>
      <w:r>
        <w:instrText xml:space="preserve"> PAGEREF _Toc23476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4F0321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_Toc13560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典型气象日气象参数</w:t>
      </w:r>
      <w:r>
        <w:tab/>
      </w:r>
      <w:r>
        <w:fldChar w:fldCharType="begin"/>
      </w:r>
      <w:r>
        <w:instrText xml:space="preserve"> PAGEREF _Toc13560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46BC1C4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_Toc15891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渗透面夏季逐时蒸发量</w:t>
      </w:r>
      <w:r>
        <w:tab/>
      </w:r>
      <w:r>
        <w:fldChar w:fldCharType="begin"/>
      </w:r>
      <w:r>
        <w:instrText xml:space="preserve"> PAGEREF _Toc15891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098D30A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_Toc13696 </w:instrText>
      </w:r>
      <w:r>
        <w:fldChar w:fldCharType="separate"/>
      </w:r>
      <w:r>
        <w:rPr>
          <w:rFonts w:hint="eastAsia"/>
        </w:rPr>
        <w:t>5 住区指标概览</w:t>
      </w:r>
      <w:r>
        <w:tab/>
      </w:r>
      <w:r>
        <w:fldChar w:fldCharType="begin"/>
      </w:r>
      <w:r>
        <w:instrText xml:space="preserve"> PAGEREF _Toc13696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25B9AF6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_Toc25260 </w:instrText>
      </w:r>
      <w:r>
        <w:fldChar w:fldCharType="separate"/>
      </w:r>
      <w:r>
        <w:rPr>
          <w:rFonts w:hint="eastAsia"/>
        </w:rPr>
        <w:t>6 规定性设计指标</w:t>
      </w:r>
      <w:r>
        <w:tab/>
      </w:r>
      <w:r>
        <w:fldChar w:fldCharType="begin"/>
      </w:r>
      <w:r>
        <w:instrText xml:space="preserve"> PAGEREF _Toc25260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1A59B6C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_Toc32193 </w:instrText>
      </w:r>
      <w:r>
        <w:fldChar w:fldCharType="separate"/>
      </w:r>
      <w:r>
        <w:rPr>
          <w:rFonts w:hint="eastAsia"/>
          <w:lang w:val="en-GB"/>
        </w:rPr>
        <w:t xml:space="preserve">6.1 </w:t>
      </w:r>
      <w:r>
        <w:rPr>
          <w:rFonts w:hint="eastAsia"/>
        </w:rPr>
        <w:t>底层通风架空率</w:t>
      </w:r>
      <w:r>
        <w:tab/>
      </w:r>
      <w:r>
        <w:fldChar w:fldCharType="begin"/>
      </w:r>
      <w:r>
        <w:instrText xml:space="preserve"> PAGEREF _Toc32193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58AA6C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_Toc28136 </w:instrText>
      </w:r>
      <w:r>
        <w:fldChar w:fldCharType="separate"/>
      </w:r>
      <w:r>
        <w:rPr>
          <w:rFonts w:hint="eastAsia"/>
          <w:lang w:val="en-GB"/>
        </w:rPr>
        <w:t xml:space="preserve">6.2 </w:t>
      </w:r>
      <w:r>
        <w:rPr>
          <w:rFonts w:hint="eastAsia"/>
        </w:rPr>
        <w:t>绿化遮阳体叶面积指数</w:t>
      </w:r>
      <w:r>
        <w:tab/>
      </w:r>
      <w:r>
        <w:fldChar w:fldCharType="begin"/>
      </w:r>
      <w:r>
        <w:instrText xml:space="preserve"> PAGEREF _Toc28136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3727AA0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_Toc7599 </w:instrText>
      </w:r>
      <w:r>
        <w:fldChar w:fldCharType="separate"/>
      </w:r>
      <w:r>
        <w:rPr>
          <w:rFonts w:hint="eastAsia"/>
          <w:lang w:val="en-GB"/>
        </w:rPr>
        <w:t xml:space="preserve">6.3 </w:t>
      </w:r>
      <w:r>
        <w:rPr>
          <w:rFonts w:hint="eastAsia"/>
        </w:rPr>
        <w:t>渗透蒸发指标</w:t>
      </w:r>
      <w:r>
        <w:tab/>
      </w:r>
      <w:r>
        <w:fldChar w:fldCharType="begin"/>
      </w:r>
      <w:r>
        <w:instrText xml:space="preserve"> PAGEREF _Toc7599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A19B75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_Toc83 </w:instrText>
      </w:r>
      <w:r>
        <w:fldChar w:fldCharType="separate"/>
      </w:r>
      <w:r>
        <w:rPr>
          <w:rFonts w:hint="eastAsia"/>
          <w:lang w:val="en-GB"/>
        </w:rPr>
        <w:t xml:space="preserve">6.4 </w:t>
      </w:r>
      <w:r>
        <w:rPr>
          <w:rFonts w:hint="eastAsia"/>
        </w:rPr>
        <w:t>屋面绿化率</w:t>
      </w:r>
      <w:r>
        <w:tab/>
      </w:r>
      <w:r>
        <w:fldChar w:fldCharType="begin"/>
      </w:r>
      <w:r>
        <w:instrText xml:space="preserve"> PAGEREF _Toc83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74734E5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_Toc27245 </w:instrText>
      </w:r>
      <w:r>
        <w:fldChar w:fldCharType="separate"/>
      </w:r>
      <w:r>
        <w:rPr>
          <w:rFonts w:hint="eastAsia"/>
        </w:rPr>
        <w:t>7 结论</w:t>
      </w:r>
      <w:r>
        <w:tab/>
      </w:r>
      <w:r>
        <w:fldChar w:fldCharType="begin"/>
      </w:r>
      <w:r>
        <w:instrText xml:space="preserve"> PAGEREF _Toc27245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188E224">
      <w:pPr>
        <w:pStyle w:val="16"/>
        <w:sectPr>
          <w:headerReference r:id="rId7" w:type="first"/>
          <w:headerReference r:id="rId6" w:type="default"/>
          <w:footerReference r:id="rId8" w:type="default"/>
          <w:footerReference r:id="rId9" w:type="even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3B5852EC">
      <w:pPr>
        <w:pStyle w:val="16"/>
      </w:pPr>
    </w:p>
    <w:p w14:paraId="46720B64">
      <w:pPr>
        <w:pStyle w:val="2"/>
      </w:pPr>
      <w:bookmarkStart w:id="8" w:name="_Toc30892"/>
      <w:r>
        <w:rPr>
          <w:rFonts w:hint="eastAsia"/>
        </w:rPr>
        <w:t>住区概况</w:t>
      </w:r>
      <w:bookmarkEnd w:id="8"/>
    </w:p>
    <w:tbl>
      <w:tblPr>
        <w:tblStyle w:val="20"/>
        <w:tblpPr w:leftFromText="180" w:rightFromText="180" w:vertAnchor="text" w:horzAnchor="margin" w:tblpXSpec="center" w:tblpY="191"/>
        <w:tblW w:w="4885" w:type="pct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2"/>
        <w:gridCol w:w="3114"/>
        <w:gridCol w:w="3116"/>
      </w:tblGrid>
      <w:tr w14:paraId="27D826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shd w:val="clear" w:color="auto" w:fill="E6E6E6"/>
          </w:tcPr>
          <w:p w14:paraId="202BC52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65" w:type="dxa"/>
            <w:gridSpan w:val="2"/>
          </w:tcPr>
          <w:p w14:paraId="4A367FF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9" w:name="工程名称1"/>
            <w:r>
              <w:rPr>
                <w:rFonts w:hint="eastAsia" w:ascii="宋体" w:hAnsi="宋体"/>
              </w:rPr>
              <w:t>文体</w:t>
            </w:r>
            <w:bookmarkEnd w:id="9"/>
          </w:p>
        </w:tc>
      </w:tr>
      <w:tr w14:paraId="1F39F3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shd w:val="clear" w:color="auto" w:fill="E6E6E6"/>
          </w:tcPr>
          <w:p w14:paraId="2A37F20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65" w:type="dxa"/>
            <w:gridSpan w:val="2"/>
          </w:tcPr>
          <w:p w14:paraId="3F4D9AD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0" w:name="工程地点"/>
            <w:r>
              <w:t>南通</w:t>
            </w:r>
            <w:bookmarkEnd w:id="10"/>
          </w:p>
        </w:tc>
      </w:tr>
      <w:tr w14:paraId="0C7304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shd w:val="clear" w:color="auto" w:fill="E6E6E6"/>
          </w:tcPr>
          <w:p w14:paraId="0D4C286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3DB6616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1" w:name="纬度"/>
            <w:r>
              <w:t>32.02</w:t>
            </w:r>
            <w:bookmarkEnd w:id="11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3" w:type="dxa"/>
          </w:tcPr>
          <w:p w14:paraId="18C303B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2" w:name="经度"/>
            <w:r>
              <w:t>120.85</w:t>
            </w:r>
            <w:bookmarkEnd w:id="12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01BFF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shd w:val="clear" w:color="auto" w:fill="E6E6E6"/>
          </w:tcPr>
          <w:p w14:paraId="3391232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建筑气候区</w:t>
            </w:r>
          </w:p>
        </w:tc>
        <w:tc>
          <w:tcPr>
            <w:tcW w:w="6065" w:type="dxa"/>
            <w:gridSpan w:val="2"/>
          </w:tcPr>
          <w:p w14:paraId="61FEA9A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3" w:name="气候区"/>
            <w:r>
              <w:t>IIIA</w:t>
            </w:r>
            <w:bookmarkEnd w:id="13"/>
          </w:p>
        </w:tc>
      </w:tr>
      <w:tr w14:paraId="26BDF5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shd w:val="clear" w:color="auto" w:fill="E6E6E6"/>
          </w:tcPr>
          <w:p w14:paraId="3BF8711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主导风向</w:t>
            </w:r>
          </w:p>
        </w:tc>
        <w:tc>
          <w:tcPr>
            <w:tcW w:w="6065" w:type="dxa"/>
            <w:gridSpan w:val="2"/>
          </w:tcPr>
          <w:p w14:paraId="451737A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4" w:name="主导风向"/>
            <w:r>
              <w:t>南</w:t>
            </w:r>
            <w:bookmarkEnd w:id="14"/>
          </w:p>
        </w:tc>
      </w:tr>
    </w:tbl>
    <w:p w14:paraId="608AA869">
      <w:pPr>
        <w:pStyle w:val="3"/>
        <w:ind w:firstLine="420"/>
        <w:rPr>
          <w:lang w:val="en-US"/>
        </w:rPr>
      </w:pPr>
    </w:p>
    <w:p w14:paraId="426BAB2C">
      <w:pPr>
        <w:pStyle w:val="3"/>
        <w:ind w:firstLine="0" w:firstLineChars="0"/>
        <w:jc w:val="center"/>
        <w:rPr>
          <w:lang w:val="en-US"/>
        </w:rPr>
      </w:pPr>
      <w:bookmarkStart w:id="15" w:name="总图鸟瞰图"/>
      <w:bookmarkEnd w:id="15"/>
      <w:r>
        <w:drawing>
          <wp:inline distT="0" distB="0" distL="0" distR="0">
            <wp:extent cx="5667375" cy="36576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28775">
      <w:pPr>
        <w:pStyle w:val="3"/>
        <w:ind w:firstLine="0" w:firstLineChars="0"/>
        <w:jc w:val="center"/>
        <w:rPr>
          <w:lang w:val="en-US"/>
        </w:rPr>
      </w:pPr>
      <w:bookmarkStart w:id="16" w:name="OLE_LINK3"/>
      <w:bookmarkStart w:id="17" w:name="OLE_LINK4"/>
      <w:r>
        <w:rPr>
          <w:rFonts w:hint="eastAsia" w:ascii="宋体" w:hAnsi="宋体"/>
        </w:rPr>
        <w:t>图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.1 场地鸟瞰图</w:t>
      </w:r>
      <w:bookmarkEnd w:id="16"/>
      <w:bookmarkEnd w:id="17"/>
    </w:p>
    <w:p w14:paraId="0B63707E">
      <w:pPr>
        <w:pStyle w:val="3"/>
        <w:ind w:firstLine="0" w:firstLineChars="0"/>
        <w:rPr>
          <w:lang w:val="en-US"/>
        </w:rPr>
      </w:pPr>
    </w:p>
    <w:p w14:paraId="00DF5537">
      <w:pPr>
        <w:pStyle w:val="3"/>
        <w:ind w:firstLine="0" w:firstLineChars="0"/>
        <w:jc w:val="center"/>
        <w:rPr>
          <w:lang w:val="en-US"/>
        </w:rPr>
      </w:pPr>
      <w:bookmarkStart w:id="18" w:name="总图平面图"/>
      <w:bookmarkEnd w:id="18"/>
      <w:r>
        <w:drawing>
          <wp:inline distT="0" distB="0" distL="0" distR="0">
            <wp:extent cx="5667375" cy="365760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4BE61">
      <w:pPr>
        <w:pStyle w:val="3"/>
        <w:ind w:firstLine="0" w:firstLineChars="0"/>
        <w:jc w:val="center"/>
        <w:rPr>
          <w:lang w:val="en-US"/>
        </w:rPr>
      </w:pPr>
      <w:r>
        <w:rPr>
          <w:rFonts w:hint="eastAsia" w:ascii="宋体" w:hAnsi="宋体"/>
        </w:rPr>
        <w:t>图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 xml:space="preserve"> 场地平面图</w:t>
      </w:r>
    </w:p>
    <w:p w14:paraId="069846D7">
      <w:pPr>
        <w:pStyle w:val="2"/>
      </w:pPr>
      <w:bookmarkStart w:id="19" w:name="_Toc22019"/>
      <w:bookmarkStart w:id="20" w:name="TitleFormat"/>
      <w:r>
        <w:rPr>
          <w:rFonts w:hint="eastAsia"/>
        </w:rPr>
        <w:t>设计依据</w:t>
      </w:r>
      <w:bookmarkEnd w:id="19"/>
    </w:p>
    <w:p w14:paraId="1AE25C8B">
      <w:pPr>
        <w:widowControl w:val="0"/>
        <w:jc w:val="both"/>
        <w:rPr>
          <w:kern w:val="2"/>
          <w:szCs w:val="24"/>
          <w:lang w:val="en-US"/>
        </w:rPr>
      </w:pPr>
      <w:bookmarkStart w:id="21" w:name="计算依据"/>
      <w:r>
        <w:t>1. 《绿色建筑评价标准》GB/T 50378-2019（2024年版）</w:t>
      </w:r>
      <w:r>
        <w:br w:type="textWrapping"/>
      </w:r>
      <w:r>
        <w:t>2. 《城市居住区热环境设计标准》JGJ 286-2013</w:t>
      </w:r>
      <w:r>
        <w:br w:type="textWrapping"/>
      </w:r>
      <w:r>
        <w:t>3. 《住宅项目规范》GB 55038–2025</w:t>
      </w:r>
      <w:bookmarkEnd w:id="20"/>
      <w:bookmarkEnd w:id="21"/>
    </w:p>
    <w:p w14:paraId="790505B0">
      <w:pPr>
        <w:pStyle w:val="2"/>
      </w:pPr>
      <w:bookmarkStart w:id="22" w:name="_Toc5087"/>
      <w:r>
        <w:rPr>
          <w:rFonts w:hint="eastAsia"/>
        </w:rPr>
        <w:t>计算规定</w:t>
      </w:r>
      <w:bookmarkEnd w:id="22"/>
    </w:p>
    <w:p w14:paraId="50B83A8B">
      <w:pPr>
        <w:pStyle w:val="3"/>
        <w:ind w:firstLine="420"/>
        <w:rPr>
          <w:rFonts w:ascii="Arial" w:hAnsi="Arial" w:cs="Arial"/>
          <w:color w:val="333333"/>
          <w:shd w:val="clear" w:color="auto" w:fill="FFFFFF"/>
        </w:rPr>
      </w:pPr>
      <w:r>
        <w:rPr>
          <w:rFonts w:hint="eastAsia"/>
          <w:kern w:val="2"/>
          <w:szCs w:val="24"/>
          <w:lang w:val="en-US"/>
        </w:rPr>
        <w:t>《城市居住区</w:t>
      </w:r>
      <w:r>
        <w:rPr>
          <w:rFonts w:hint="eastAsia" w:ascii="Arial" w:hAnsi="Arial" w:cs="Arial"/>
          <w:color w:val="333333"/>
          <w:shd w:val="clear" w:color="auto" w:fill="FFFFFF"/>
        </w:rPr>
        <w:t>热环境设计标准》的指标体系包括</w:t>
      </w:r>
      <w:r>
        <w:rPr>
          <w:rFonts w:ascii="Arial" w:hAnsi="Arial" w:cs="Arial"/>
          <w:color w:val="333333"/>
          <w:shd w:val="clear" w:color="auto" w:fill="FFFFFF"/>
        </w:rPr>
        <w:t>规定性设计</w:t>
      </w:r>
      <w:r>
        <w:rPr>
          <w:rFonts w:hint="eastAsia" w:ascii="Arial" w:hAnsi="Arial" w:cs="Arial"/>
          <w:color w:val="333333"/>
          <w:shd w:val="clear" w:color="auto" w:fill="FFFFFF"/>
        </w:rPr>
        <w:t>和</w:t>
      </w:r>
      <w:r>
        <w:rPr>
          <w:rFonts w:ascii="Arial" w:hAnsi="Arial" w:cs="Arial"/>
          <w:color w:val="333333"/>
          <w:shd w:val="clear" w:color="auto" w:fill="FFFFFF"/>
        </w:rPr>
        <w:t>评价性设计</w:t>
      </w:r>
      <w:r>
        <w:rPr>
          <w:rFonts w:hint="eastAsia" w:ascii="Arial" w:hAnsi="Arial" w:cs="Arial"/>
          <w:color w:val="333333"/>
          <w:shd w:val="clear" w:color="auto" w:fill="FFFFFF"/>
        </w:rPr>
        <w:t>，当不满足规定性指标时可进行性能设计指标评价</w:t>
      </w:r>
      <w:r>
        <w:rPr>
          <w:rFonts w:ascii="Arial" w:hAnsi="Arial" w:cs="Arial"/>
          <w:color w:val="333333"/>
          <w:shd w:val="clear" w:color="auto" w:fill="FFFFFF"/>
        </w:rPr>
        <w:t>。</w:t>
      </w:r>
    </w:p>
    <w:p w14:paraId="230B2847">
      <w:pPr>
        <w:pStyle w:val="4"/>
      </w:pPr>
      <w:bookmarkStart w:id="23" w:name="_Toc10008"/>
      <w:r>
        <w:rPr>
          <w:rFonts w:hint="eastAsia"/>
        </w:rPr>
        <w:t>规定性设计</w:t>
      </w:r>
      <w:bookmarkEnd w:id="23"/>
    </w:p>
    <w:p w14:paraId="7E15028E">
      <w:pPr>
        <w:pStyle w:val="18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bCs/>
          <w:kern w:val="2"/>
        </w:rPr>
      </w:pPr>
      <w:r>
        <w:rPr>
          <w:rFonts w:hint="eastAsia" w:ascii="Times New Roman" w:hAnsi="Times New Roman" w:cs="Times New Roman"/>
          <w:bCs/>
          <w:kern w:val="2"/>
        </w:rPr>
        <w:t>（1）4.1.4：在Ⅲ、Ⅳ、Ⅴ建筑气候区，当夏季主导风向上的建筑物迎风面宽度超过80m时，该建筑底层的通风架空率不应小于10％。</w:t>
      </w:r>
    </w:p>
    <w:p w14:paraId="07100ED4">
      <w:pPr>
        <w:pStyle w:val="18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bCs/>
          <w:kern w:val="2"/>
        </w:rPr>
      </w:pPr>
      <w:r>
        <w:rPr>
          <w:rFonts w:hint="eastAsia" w:ascii="Times New Roman" w:hAnsi="Times New Roman" w:cs="Times New Roman"/>
          <w:bCs/>
          <w:kern w:val="2"/>
        </w:rPr>
        <w:t>（2）4.2.3：</w:t>
      </w:r>
      <w:r>
        <w:rPr>
          <w:rFonts w:ascii="Times New Roman" w:hAnsi="Times New Roman" w:cs="Times New Roman"/>
          <w:bCs/>
          <w:kern w:val="2"/>
        </w:rPr>
        <w:t>绿化遮阳体的叶面积指数不应小于3</w:t>
      </w:r>
      <w:r>
        <w:rPr>
          <w:rFonts w:hint="eastAsia" w:ascii="Times New Roman" w:hAnsi="Times New Roman" w:cs="Times New Roman"/>
          <w:bCs/>
          <w:kern w:val="2"/>
        </w:rPr>
        <w:t>.0</w:t>
      </w:r>
      <w:r>
        <w:rPr>
          <w:rFonts w:ascii="Times New Roman" w:hAnsi="Times New Roman" w:cs="Times New Roman"/>
          <w:bCs/>
          <w:kern w:val="2"/>
        </w:rPr>
        <w:t>。</w:t>
      </w:r>
    </w:p>
    <w:p w14:paraId="0E159DA1">
      <w:pPr>
        <w:pStyle w:val="18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bCs/>
          <w:kern w:val="2"/>
        </w:rPr>
      </w:pPr>
      <w:r>
        <w:rPr>
          <w:rFonts w:hint="eastAsia" w:ascii="Times New Roman" w:hAnsi="Times New Roman" w:cs="Times New Roman"/>
          <w:bCs/>
          <w:kern w:val="2"/>
        </w:rPr>
        <w:t>（3）4.3.1：居住区户外活动场地和人行道路地面应有雨水渗透与蒸发能力，渗透与蒸发指标不应低于表4.3.1的规定。</w:t>
      </w:r>
    </w:p>
    <w:p w14:paraId="6E4CEF52">
      <w:pPr>
        <w:pStyle w:val="18"/>
        <w:shd w:val="clear" w:color="auto" w:fill="FFFFFF"/>
        <w:spacing w:before="0" w:beforeAutospacing="0" w:after="0" w:afterAutospacing="0"/>
        <w:ind w:firstLine="420"/>
        <w:jc w:val="center"/>
        <w:rPr>
          <w:rStyle w:val="23"/>
          <w:rFonts w:ascii="Arial" w:hAnsi="Arial" w:cs="Arial"/>
          <w:color w:val="333333"/>
          <w:sz w:val="21"/>
          <w:szCs w:val="21"/>
        </w:rPr>
      </w:pPr>
      <w:r>
        <w:rPr>
          <w:rStyle w:val="23"/>
          <w:rFonts w:ascii="Arial" w:hAnsi="Arial" w:cs="Arial"/>
          <w:color w:val="333333"/>
          <w:sz w:val="21"/>
          <w:szCs w:val="21"/>
        </w:rPr>
        <w:t>表4．</w:t>
      </w:r>
      <w:r>
        <w:rPr>
          <w:rStyle w:val="23"/>
          <w:rFonts w:hint="eastAsia" w:ascii="Arial" w:hAnsi="Arial" w:cs="Arial"/>
          <w:color w:val="333333"/>
          <w:sz w:val="21"/>
          <w:szCs w:val="21"/>
        </w:rPr>
        <w:t>3</w:t>
      </w:r>
      <w:r>
        <w:rPr>
          <w:rStyle w:val="23"/>
          <w:rFonts w:ascii="Arial" w:hAnsi="Arial" w:cs="Arial"/>
          <w:color w:val="333333"/>
          <w:sz w:val="21"/>
          <w:szCs w:val="21"/>
        </w:rPr>
        <w:t>．1 居住区</w:t>
      </w:r>
      <w:r>
        <w:rPr>
          <w:rStyle w:val="23"/>
          <w:rFonts w:hint="eastAsia" w:ascii="Arial" w:hAnsi="Arial" w:cs="Arial"/>
          <w:color w:val="333333"/>
          <w:sz w:val="21"/>
          <w:szCs w:val="21"/>
        </w:rPr>
        <w:t>地面渗透蒸发指标</w:t>
      </w:r>
    </w:p>
    <w:tbl>
      <w:tblPr>
        <w:tblStyle w:val="20"/>
        <w:tblW w:w="9747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16"/>
        <w:gridCol w:w="1456"/>
        <w:gridCol w:w="1439"/>
        <w:gridCol w:w="1278"/>
        <w:gridCol w:w="1536"/>
        <w:gridCol w:w="1505"/>
        <w:gridCol w:w="1417"/>
      </w:tblGrid>
      <w:tr w14:paraId="22909C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8601B8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地面</w:t>
            </w:r>
          </w:p>
        </w:tc>
        <w:tc>
          <w:tcPr>
            <w:tcW w:w="417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FCBD18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I、II、VI、VII气候区</w:t>
            </w:r>
          </w:p>
        </w:tc>
        <w:tc>
          <w:tcPr>
            <w:tcW w:w="445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EF25F9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III、IV、V气候区</w:t>
            </w:r>
          </w:p>
        </w:tc>
      </w:tr>
      <w:tr w14:paraId="15F8C5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D641F5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14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AD0994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渗透面积比率β（%）</w:t>
            </w:r>
          </w:p>
        </w:tc>
        <w:tc>
          <w:tcPr>
            <w:tcW w:w="14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547BC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地面透水系数k（mm/s）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ADD063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蒸发量m（kg/㎡·d）</w:t>
            </w: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203EAF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渗透面积比率β（%）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11757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地面透水系数k（mm/s）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38741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蒸发量m（kg/㎡·d）</w:t>
            </w:r>
          </w:p>
        </w:tc>
      </w:tr>
      <w:tr w14:paraId="2E1C9B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CF9084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广场</w:t>
            </w:r>
          </w:p>
        </w:tc>
        <w:tc>
          <w:tcPr>
            <w:tcW w:w="14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E7CE20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40</w:t>
            </w:r>
          </w:p>
        </w:tc>
        <w:tc>
          <w:tcPr>
            <w:tcW w:w="143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DB87F9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3</w:t>
            </w:r>
          </w:p>
        </w:tc>
        <w:tc>
          <w:tcPr>
            <w:tcW w:w="127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FC604E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1.6</w:t>
            </w: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076C20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50</w:t>
            </w:r>
          </w:p>
        </w:tc>
        <w:tc>
          <w:tcPr>
            <w:tcW w:w="15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CBCEA9">
            <w:pPr>
              <w:spacing w:line="360" w:lineRule="auto"/>
              <w:jc w:val="center"/>
              <w:rPr>
                <w:rFonts w:ascii="Arial" w:hAnsi="Arial" w:cs="Arial"/>
                <w:sz w:val="36"/>
                <w:szCs w:val="36"/>
                <w:lang w:val="en-US"/>
              </w:rPr>
            </w:pPr>
            <w:r>
              <w:rPr>
                <w:rFonts w:hint="eastAsia" w:ascii="微软雅黑" w:hAnsi="微软雅黑" w:cs="Arial" w:eastAsiaTheme="minorEastAsia"/>
                <w:color w:val="000000" w:themeColor="text1"/>
                <w:kern w:val="2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C3E45E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1.3</w:t>
            </w:r>
          </w:p>
        </w:tc>
      </w:tr>
      <w:tr w14:paraId="5E9675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8FF808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游憩场</w:t>
            </w:r>
          </w:p>
        </w:tc>
        <w:tc>
          <w:tcPr>
            <w:tcW w:w="14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2B183C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50</w:t>
            </w: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04D7AA8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67561A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5ED978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60</w:t>
            </w:r>
          </w:p>
        </w:tc>
        <w:tc>
          <w:tcPr>
            <w:tcW w:w="15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BC9A902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2659875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</w:tr>
      <w:tr w14:paraId="0139F4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1753EA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停车场</w:t>
            </w:r>
          </w:p>
        </w:tc>
        <w:tc>
          <w:tcPr>
            <w:tcW w:w="14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FB2050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60</w:t>
            </w: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7134A8B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1F9A27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6993F9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70</w:t>
            </w:r>
          </w:p>
        </w:tc>
        <w:tc>
          <w:tcPr>
            <w:tcW w:w="15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25E8E14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7D47D8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</w:tr>
      <w:tr w14:paraId="5D4C6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5BF95E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人行道</w:t>
            </w:r>
          </w:p>
        </w:tc>
        <w:tc>
          <w:tcPr>
            <w:tcW w:w="14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7A54E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50</w:t>
            </w: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1716E4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D5EE2D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1EFF2A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60</w:t>
            </w:r>
          </w:p>
        </w:tc>
        <w:tc>
          <w:tcPr>
            <w:tcW w:w="15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02FC314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35BA16B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</w:tr>
    </w:tbl>
    <w:p w14:paraId="5711AE81">
      <w:pPr>
        <w:pStyle w:val="18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bCs/>
          <w:kern w:val="2"/>
        </w:rPr>
      </w:pPr>
      <w:r>
        <w:rPr>
          <w:rFonts w:hint="eastAsia" w:ascii="Times New Roman" w:hAnsi="Times New Roman" w:cs="Times New Roman"/>
          <w:bCs/>
          <w:kern w:val="2"/>
        </w:rPr>
        <w:t>（4）居住区内建筑屋面的绿化面积不应低于可绿化屋面面积的50％。</w:t>
      </w:r>
    </w:p>
    <w:p w14:paraId="5C605C62">
      <w:pPr>
        <w:pStyle w:val="3"/>
        <w:ind w:firstLine="199" w:firstLineChars="95"/>
        <w:rPr>
          <w:lang w:val="en-US"/>
        </w:rPr>
      </w:pPr>
      <w:r>
        <w:rPr>
          <w:rFonts w:hint="eastAsia"/>
          <w:lang w:val="en-US"/>
        </w:rPr>
        <w:t>当以上4条有任意一条不能满足时候，需要进行评价性设计。</w:t>
      </w:r>
    </w:p>
    <w:p w14:paraId="77C50D6A">
      <w:pPr>
        <w:pStyle w:val="2"/>
      </w:pPr>
      <w:bookmarkStart w:id="24" w:name="_Toc23476"/>
      <w:r>
        <w:rPr>
          <w:rFonts w:hint="eastAsia"/>
        </w:rPr>
        <w:t>计算参数</w:t>
      </w:r>
      <w:bookmarkEnd w:id="24"/>
    </w:p>
    <w:p w14:paraId="5DA09856">
      <w:pPr>
        <w:pStyle w:val="4"/>
      </w:pPr>
      <w:bookmarkStart w:id="25" w:name="_Toc13560"/>
      <w:r>
        <w:rPr>
          <w:rFonts w:hint="eastAsia"/>
        </w:rPr>
        <w:t>典型气象日气象参数</w:t>
      </w:r>
      <w:bookmarkEnd w:id="25"/>
    </w:p>
    <w:tbl>
      <w:tblPr>
        <w:tblStyle w:val="20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1341"/>
        <w:gridCol w:w="1341"/>
        <w:gridCol w:w="1341"/>
        <w:gridCol w:w="1341"/>
        <w:gridCol w:w="1341"/>
        <w:gridCol w:w="1341"/>
      </w:tblGrid>
      <w:tr w14:paraId="51B87C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0BF803E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2EDD8784">
            <w:pPr>
              <w:jc w:val="center"/>
            </w:pPr>
            <w:r>
              <w:t>干球温度</w:t>
            </w:r>
            <w:r>
              <w:br w:type="textWrapping"/>
            </w:r>
            <w:r>
              <w:t>(℃)</w:t>
            </w:r>
          </w:p>
        </w:tc>
        <w:tc>
          <w:tcPr>
            <w:shd w:val="clear" w:color="auto" w:fill="E6E6E6"/>
            <w:vAlign w:val="center"/>
          </w:tcPr>
          <w:p w14:paraId="4126F9A9">
            <w:pPr>
              <w:jc w:val="center"/>
            </w:pPr>
            <w:r>
              <w:t>相对湿度(%)</w:t>
            </w:r>
          </w:p>
        </w:tc>
        <w:tc>
          <w:tcPr>
            <w:shd w:val="clear" w:color="auto" w:fill="E6E6E6"/>
            <w:vAlign w:val="center"/>
          </w:tcPr>
          <w:p w14:paraId="0AE0F5DE">
            <w:pPr>
              <w:jc w:val="center"/>
            </w:pPr>
            <w:r>
              <w:t>水平总辐射照度</w:t>
            </w:r>
            <w:r>
              <w:br w:type="textWrapping"/>
            </w:r>
            <w:r>
              <w:t>(W/㎡)</w:t>
            </w:r>
          </w:p>
        </w:tc>
        <w:tc>
          <w:tcPr>
            <w:shd w:val="clear" w:color="auto" w:fill="E6E6E6"/>
            <w:vAlign w:val="center"/>
          </w:tcPr>
          <w:p w14:paraId="1555BE42">
            <w:pPr>
              <w:jc w:val="center"/>
            </w:pPr>
            <w:r>
              <w:t>水平散射辐射照度</w:t>
            </w:r>
            <w:r>
              <w:br w:type="textWrapping"/>
            </w:r>
            <w:r>
              <w:t>(W/㎡)</w:t>
            </w:r>
          </w:p>
        </w:tc>
        <w:tc>
          <w:tcPr>
            <w:shd w:val="clear" w:color="auto" w:fill="E6E6E6"/>
            <w:vAlign w:val="center"/>
          </w:tcPr>
          <w:p w14:paraId="797CC08E">
            <w:pPr>
              <w:jc w:val="center"/>
            </w:pPr>
            <w:r>
              <w:t>风速(m/s)</w:t>
            </w:r>
          </w:p>
        </w:tc>
        <w:tc>
          <w:tcPr>
            <w:shd w:val="clear" w:color="auto" w:fill="E6E6E6"/>
            <w:vAlign w:val="center"/>
          </w:tcPr>
          <w:p w14:paraId="69A5FFB5">
            <w:pPr>
              <w:jc w:val="center"/>
            </w:pPr>
            <w:r>
              <w:t>主导风向</w:t>
            </w:r>
          </w:p>
        </w:tc>
      </w:tr>
      <w:tr w14:paraId="2B2101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49296EF">
            <w:pPr>
              <w:jc w:val="center"/>
            </w:pPr>
            <w:r>
              <w:t>0</w:t>
            </w:r>
          </w:p>
        </w:tc>
        <w:tc>
          <w:tcPr>
            <w:vAlign w:val="center"/>
          </w:tcPr>
          <w:p w14:paraId="29D11C0E">
            <w:pPr>
              <w:jc w:val="center"/>
            </w:pPr>
            <w:r>
              <w:t>25.3</w:t>
            </w:r>
          </w:p>
        </w:tc>
        <w:tc>
          <w:tcPr>
            <w:vAlign w:val="center"/>
          </w:tcPr>
          <w:p w14:paraId="2E266C89">
            <w:pPr>
              <w:jc w:val="center"/>
            </w:pPr>
            <w:r>
              <w:t>85</w:t>
            </w:r>
          </w:p>
        </w:tc>
        <w:tc>
          <w:tcPr>
            <w:vAlign w:val="center"/>
          </w:tcPr>
          <w:p w14:paraId="0F98EA18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6B7B28A3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174EA876">
            <w:pPr>
              <w:jc w:val="center"/>
            </w:pPr>
            <w:r>
              <w:t>2.3</w:t>
            </w:r>
          </w:p>
        </w:tc>
        <w:tc>
          <w:tcPr>
            <w:vMerge w:val="restart"/>
            <w:vAlign w:val="center"/>
          </w:tcPr>
          <w:p w14:paraId="62766413">
            <w:pPr>
              <w:jc w:val="center"/>
            </w:pPr>
            <w:r>
              <w:t>南</w:t>
            </w:r>
          </w:p>
        </w:tc>
      </w:tr>
      <w:tr w14:paraId="3FC8A5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A32F2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9FEA79A">
            <w:pPr>
              <w:jc w:val="center"/>
            </w:pPr>
            <w:r>
              <w:t>25.3</w:t>
            </w:r>
          </w:p>
        </w:tc>
        <w:tc>
          <w:tcPr>
            <w:vAlign w:val="center"/>
          </w:tcPr>
          <w:p w14:paraId="414290EE">
            <w:pPr>
              <w:jc w:val="center"/>
            </w:pPr>
            <w:r>
              <w:t>85</w:t>
            </w:r>
          </w:p>
        </w:tc>
        <w:tc>
          <w:tcPr>
            <w:vAlign w:val="center"/>
          </w:tcPr>
          <w:p w14:paraId="119FF4B5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627C9E6D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053E8E33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33BA9970">
            <w:pPr>
              <w:jc w:val="center"/>
            </w:pPr>
          </w:p>
        </w:tc>
      </w:tr>
      <w:tr w14:paraId="31FFF8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CC79B2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6F26830">
            <w:pPr>
              <w:jc w:val="center"/>
            </w:pPr>
            <w:r>
              <w:t>25.3</w:t>
            </w:r>
          </w:p>
        </w:tc>
        <w:tc>
          <w:tcPr>
            <w:vAlign w:val="center"/>
          </w:tcPr>
          <w:p w14:paraId="63E70AD6">
            <w:pPr>
              <w:jc w:val="center"/>
            </w:pPr>
            <w:r>
              <w:t>85</w:t>
            </w:r>
          </w:p>
        </w:tc>
        <w:tc>
          <w:tcPr>
            <w:vAlign w:val="center"/>
          </w:tcPr>
          <w:p w14:paraId="4A1313D9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1DAA892C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3BC18F3F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6DFC1DDE">
            <w:pPr>
              <w:jc w:val="center"/>
            </w:pPr>
          </w:p>
        </w:tc>
      </w:tr>
      <w:tr w14:paraId="5E6F17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6E98B85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5DF50134">
            <w:pPr>
              <w:jc w:val="center"/>
            </w:pPr>
            <w:r>
              <w:t>25.3</w:t>
            </w:r>
          </w:p>
        </w:tc>
        <w:tc>
          <w:tcPr>
            <w:vAlign w:val="center"/>
          </w:tcPr>
          <w:p w14:paraId="3953C3B3">
            <w:pPr>
              <w:jc w:val="center"/>
            </w:pPr>
            <w:r>
              <w:t>85</w:t>
            </w:r>
          </w:p>
        </w:tc>
        <w:tc>
          <w:tcPr>
            <w:vAlign w:val="center"/>
          </w:tcPr>
          <w:p w14:paraId="5C4CA2AF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5210B4F6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6D4A453E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23DCC4DC">
            <w:pPr>
              <w:jc w:val="center"/>
            </w:pPr>
          </w:p>
        </w:tc>
      </w:tr>
      <w:tr w14:paraId="0D6220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73BCBD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21834486">
            <w:pPr>
              <w:jc w:val="center"/>
            </w:pPr>
            <w:r>
              <w:t>25.3</w:t>
            </w:r>
          </w:p>
        </w:tc>
        <w:tc>
          <w:tcPr>
            <w:vAlign w:val="center"/>
          </w:tcPr>
          <w:p w14:paraId="2320CA8C">
            <w:pPr>
              <w:jc w:val="center"/>
            </w:pPr>
            <w:r>
              <w:t>85</w:t>
            </w:r>
          </w:p>
        </w:tc>
        <w:tc>
          <w:tcPr>
            <w:vAlign w:val="center"/>
          </w:tcPr>
          <w:p w14:paraId="0810DF7F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1B0B9EF2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3FAA8424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1BCF9DD6">
            <w:pPr>
              <w:jc w:val="center"/>
            </w:pPr>
          </w:p>
        </w:tc>
      </w:tr>
      <w:tr w14:paraId="7DBCEA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2482DD5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2E2B786D">
            <w:pPr>
              <w:jc w:val="center"/>
            </w:pPr>
            <w:r>
              <w:t>25.5</w:t>
            </w:r>
          </w:p>
        </w:tc>
        <w:tc>
          <w:tcPr>
            <w:vAlign w:val="center"/>
          </w:tcPr>
          <w:p w14:paraId="5AFE5840">
            <w:pPr>
              <w:jc w:val="center"/>
            </w:pPr>
            <w:r>
              <w:t>84</w:t>
            </w:r>
          </w:p>
        </w:tc>
        <w:tc>
          <w:tcPr>
            <w:vAlign w:val="center"/>
          </w:tcPr>
          <w:p w14:paraId="15C5D1F1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50C40357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4B741327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28E6F51E">
            <w:pPr>
              <w:jc w:val="center"/>
            </w:pPr>
          </w:p>
        </w:tc>
      </w:tr>
      <w:tr w14:paraId="45D85E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3D2BAFB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070F3076">
            <w:pPr>
              <w:jc w:val="center"/>
            </w:pPr>
            <w:r>
              <w:t>25.8</w:t>
            </w:r>
          </w:p>
        </w:tc>
        <w:tc>
          <w:tcPr>
            <w:vAlign w:val="center"/>
          </w:tcPr>
          <w:p w14:paraId="01BBB039">
            <w:pPr>
              <w:jc w:val="center"/>
            </w:pPr>
            <w:r>
              <w:t>83</w:t>
            </w:r>
          </w:p>
        </w:tc>
        <w:tc>
          <w:tcPr>
            <w:vAlign w:val="center"/>
          </w:tcPr>
          <w:p w14:paraId="402C9D37">
            <w:pPr>
              <w:jc w:val="center"/>
            </w:pPr>
            <w:r>
              <w:t>88.89</w:t>
            </w:r>
          </w:p>
        </w:tc>
        <w:tc>
          <w:tcPr>
            <w:vAlign w:val="center"/>
          </w:tcPr>
          <w:p w14:paraId="6245DD7A">
            <w:pPr>
              <w:jc w:val="center"/>
            </w:pPr>
            <w:r>
              <w:t>47.22</w:t>
            </w:r>
          </w:p>
        </w:tc>
        <w:tc>
          <w:tcPr>
            <w:vAlign w:val="center"/>
          </w:tcPr>
          <w:p w14:paraId="6A660F32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2C51AD45">
            <w:pPr>
              <w:jc w:val="center"/>
            </w:pPr>
          </w:p>
        </w:tc>
      </w:tr>
      <w:tr w14:paraId="47EFB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A25CC0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2296D7A6">
            <w:pPr>
              <w:jc w:val="center"/>
            </w:pPr>
            <w:r>
              <w:t>26.4</w:t>
            </w:r>
          </w:p>
        </w:tc>
        <w:tc>
          <w:tcPr>
            <w:vAlign w:val="center"/>
          </w:tcPr>
          <w:p w14:paraId="0AB966DB">
            <w:pPr>
              <w:jc w:val="center"/>
            </w:pPr>
            <w:r>
              <w:t>81</w:t>
            </w:r>
          </w:p>
        </w:tc>
        <w:tc>
          <w:tcPr>
            <w:vAlign w:val="center"/>
          </w:tcPr>
          <w:p w14:paraId="20439948">
            <w:pPr>
              <w:jc w:val="center"/>
            </w:pPr>
            <w:r>
              <w:t>213.89</w:t>
            </w:r>
          </w:p>
        </w:tc>
        <w:tc>
          <w:tcPr>
            <w:vAlign w:val="center"/>
          </w:tcPr>
          <w:p w14:paraId="4825A89F">
            <w:pPr>
              <w:jc w:val="center"/>
            </w:pPr>
            <w:r>
              <w:t>100.00</w:t>
            </w:r>
          </w:p>
        </w:tc>
        <w:tc>
          <w:tcPr>
            <w:vAlign w:val="center"/>
          </w:tcPr>
          <w:p w14:paraId="6EEA8D8A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1AFD1366">
            <w:pPr>
              <w:jc w:val="center"/>
            </w:pPr>
          </w:p>
        </w:tc>
      </w:tr>
      <w:tr w14:paraId="2555A6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820F880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7B5267EF">
            <w:pPr>
              <w:jc w:val="center"/>
            </w:pPr>
            <w:r>
              <w:t>27.2</w:t>
            </w:r>
          </w:p>
        </w:tc>
        <w:tc>
          <w:tcPr>
            <w:vAlign w:val="center"/>
          </w:tcPr>
          <w:p w14:paraId="43291963">
            <w:pPr>
              <w:jc w:val="center"/>
            </w:pPr>
            <w:r>
              <w:t>78</w:t>
            </w:r>
          </w:p>
        </w:tc>
        <w:tc>
          <w:tcPr>
            <w:vAlign w:val="center"/>
          </w:tcPr>
          <w:p w14:paraId="2B99BA4D">
            <w:pPr>
              <w:jc w:val="center"/>
            </w:pPr>
            <w:r>
              <w:t>347.22</w:t>
            </w:r>
          </w:p>
        </w:tc>
        <w:tc>
          <w:tcPr>
            <w:vAlign w:val="center"/>
          </w:tcPr>
          <w:p w14:paraId="288240B7">
            <w:pPr>
              <w:jc w:val="center"/>
            </w:pPr>
            <w:r>
              <w:t>147.22</w:t>
            </w:r>
          </w:p>
        </w:tc>
        <w:tc>
          <w:tcPr>
            <w:vAlign w:val="center"/>
          </w:tcPr>
          <w:p w14:paraId="35E2D5EB">
            <w:pPr>
              <w:jc w:val="center"/>
            </w:pPr>
            <w:r>
              <w:t>2.7</w:t>
            </w:r>
          </w:p>
        </w:tc>
        <w:tc>
          <w:tcPr>
            <w:vMerge w:val="continue"/>
            <w:vAlign w:val="center"/>
          </w:tcPr>
          <w:p w14:paraId="6F67663B">
            <w:pPr>
              <w:jc w:val="center"/>
            </w:pPr>
          </w:p>
        </w:tc>
      </w:tr>
      <w:tr w14:paraId="69E415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B132B0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458E5689">
            <w:pPr>
              <w:jc w:val="center"/>
            </w:pPr>
            <w:r>
              <w:t>28.1</w:t>
            </w:r>
          </w:p>
        </w:tc>
        <w:tc>
          <w:tcPr>
            <w:vAlign w:val="center"/>
          </w:tcPr>
          <w:p w14:paraId="29B3F861">
            <w:pPr>
              <w:jc w:val="center"/>
            </w:pPr>
            <w:r>
              <w:t>75</w:t>
            </w:r>
          </w:p>
        </w:tc>
        <w:tc>
          <w:tcPr>
            <w:vAlign w:val="center"/>
          </w:tcPr>
          <w:p w14:paraId="4D2DA914">
            <w:pPr>
              <w:jc w:val="center"/>
            </w:pPr>
            <w:r>
              <w:t>477.78</w:t>
            </w:r>
          </w:p>
        </w:tc>
        <w:tc>
          <w:tcPr>
            <w:vAlign w:val="center"/>
          </w:tcPr>
          <w:p w14:paraId="00C224A7">
            <w:pPr>
              <w:jc w:val="center"/>
            </w:pPr>
            <w:r>
              <w:t>188.89</w:t>
            </w:r>
          </w:p>
        </w:tc>
        <w:tc>
          <w:tcPr>
            <w:vAlign w:val="center"/>
          </w:tcPr>
          <w:p w14:paraId="6EEF650E">
            <w:pPr>
              <w:jc w:val="center"/>
            </w:pPr>
            <w:r>
              <w:t>3.3</w:t>
            </w:r>
          </w:p>
        </w:tc>
        <w:tc>
          <w:tcPr>
            <w:vMerge w:val="continue"/>
            <w:vAlign w:val="center"/>
          </w:tcPr>
          <w:p w14:paraId="7F568414">
            <w:pPr>
              <w:jc w:val="center"/>
            </w:pPr>
          </w:p>
        </w:tc>
      </w:tr>
      <w:tr w14:paraId="5EB3E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78B5DE4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05811678">
            <w:pPr>
              <w:jc w:val="center"/>
            </w:pPr>
            <w:r>
              <w:t>29.1</w:t>
            </w:r>
          </w:p>
        </w:tc>
        <w:tc>
          <w:tcPr>
            <w:vAlign w:val="center"/>
          </w:tcPr>
          <w:p w14:paraId="216C17A8">
            <w:pPr>
              <w:jc w:val="center"/>
            </w:pPr>
            <w:r>
              <w:t>72</w:t>
            </w:r>
          </w:p>
        </w:tc>
        <w:tc>
          <w:tcPr>
            <w:vAlign w:val="center"/>
          </w:tcPr>
          <w:p w14:paraId="733F001C">
            <w:pPr>
              <w:jc w:val="center"/>
            </w:pPr>
            <w:r>
              <w:t>580.56</w:t>
            </w:r>
          </w:p>
        </w:tc>
        <w:tc>
          <w:tcPr>
            <w:vAlign w:val="center"/>
          </w:tcPr>
          <w:p w14:paraId="0B149E5E">
            <w:pPr>
              <w:jc w:val="center"/>
            </w:pPr>
            <w:r>
              <w:t>216.67</w:t>
            </w:r>
          </w:p>
        </w:tc>
        <w:tc>
          <w:tcPr>
            <w:vAlign w:val="center"/>
          </w:tcPr>
          <w:p w14:paraId="351AD790">
            <w:pPr>
              <w:jc w:val="center"/>
            </w:pPr>
            <w:r>
              <w:t>4.0</w:t>
            </w:r>
          </w:p>
        </w:tc>
        <w:tc>
          <w:tcPr>
            <w:vMerge w:val="continue"/>
            <w:vAlign w:val="center"/>
          </w:tcPr>
          <w:p w14:paraId="6C22DDA4">
            <w:pPr>
              <w:jc w:val="center"/>
            </w:pPr>
          </w:p>
        </w:tc>
      </w:tr>
      <w:tr w14:paraId="29972A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49D2B61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0986D10E">
            <w:pPr>
              <w:jc w:val="center"/>
            </w:pPr>
            <w:r>
              <w:t>30.0</w:t>
            </w:r>
          </w:p>
        </w:tc>
        <w:tc>
          <w:tcPr>
            <w:vAlign w:val="center"/>
          </w:tcPr>
          <w:p w14:paraId="2D1432F7">
            <w:pPr>
              <w:jc w:val="center"/>
            </w:pPr>
            <w:r>
              <w:t>69</w:t>
            </w:r>
          </w:p>
        </w:tc>
        <w:tc>
          <w:tcPr>
            <w:vAlign w:val="center"/>
          </w:tcPr>
          <w:p w14:paraId="7353701B">
            <w:pPr>
              <w:jc w:val="center"/>
            </w:pPr>
            <w:r>
              <w:t>644.44</w:t>
            </w:r>
          </w:p>
        </w:tc>
        <w:tc>
          <w:tcPr>
            <w:vAlign w:val="center"/>
          </w:tcPr>
          <w:p w14:paraId="55261970">
            <w:pPr>
              <w:jc w:val="center"/>
            </w:pPr>
            <w:r>
              <w:t>236.11</w:t>
            </w:r>
          </w:p>
        </w:tc>
        <w:tc>
          <w:tcPr>
            <w:vAlign w:val="center"/>
          </w:tcPr>
          <w:p w14:paraId="574246BD">
            <w:pPr>
              <w:jc w:val="center"/>
            </w:pPr>
            <w:r>
              <w:t>4.7</w:t>
            </w:r>
          </w:p>
        </w:tc>
        <w:tc>
          <w:tcPr>
            <w:vMerge w:val="continue"/>
            <w:vAlign w:val="center"/>
          </w:tcPr>
          <w:p w14:paraId="09429473">
            <w:pPr>
              <w:jc w:val="center"/>
            </w:pPr>
          </w:p>
        </w:tc>
      </w:tr>
      <w:tr w14:paraId="33E63E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C2A07ED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6CD465D8">
            <w:pPr>
              <w:jc w:val="center"/>
            </w:pPr>
            <w:r>
              <w:t>30.6</w:t>
            </w:r>
          </w:p>
        </w:tc>
        <w:tc>
          <w:tcPr>
            <w:vAlign w:val="center"/>
          </w:tcPr>
          <w:p w14:paraId="4853CC72">
            <w:pPr>
              <w:jc w:val="center"/>
            </w:pPr>
            <w:r>
              <w:t>67</w:t>
            </w:r>
          </w:p>
        </w:tc>
        <w:tc>
          <w:tcPr>
            <w:vAlign w:val="center"/>
          </w:tcPr>
          <w:p w14:paraId="35C946F7">
            <w:pPr>
              <w:jc w:val="center"/>
            </w:pPr>
            <w:r>
              <w:t>658.33</w:t>
            </w:r>
          </w:p>
        </w:tc>
        <w:tc>
          <w:tcPr>
            <w:vAlign w:val="center"/>
          </w:tcPr>
          <w:p w14:paraId="7C8800D5">
            <w:pPr>
              <w:jc w:val="center"/>
            </w:pPr>
            <w:r>
              <w:t>241.67</w:t>
            </w:r>
          </w:p>
        </w:tc>
        <w:tc>
          <w:tcPr>
            <w:vAlign w:val="center"/>
          </w:tcPr>
          <w:p w14:paraId="4CF7925E">
            <w:pPr>
              <w:jc w:val="center"/>
            </w:pPr>
            <w:r>
              <w:t>5.3</w:t>
            </w:r>
          </w:p>
        </w:tc>
        <w:tc>
          <w:tcPr>
            <w:vMerge w:val="continue"/>
            <w:vAlign w:val="center"/>
          </w:tcPr>
          <w:p w14:paraId="7D71D00C">
            <w:pPr>
              <w:jc w:val="center"/>
            </w:pPr>
          </w:p>
        </w:tc>
      </w:tr>
      <w:tr w14:paraId="33ECEB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7A4D54">
            <w:pPr>
              <w:jc w:val="center"/>
            </w:pPr>
            <w:r>
              <w:t>13</w:t>
            </w:r>
          </w:p>
        </w:tc>
        <w:tc>
          <w:tcPr>
            <w:vAlign w:val="center"/>
          </w:tcPr>
          <w:p w14:paraId="22C783AC">
            <w:pPr>
              <w:jc w:val="center"/>
            </w:pPr>
            <w:r>
              <w:t>30.9</w:t>
            </w:r>
          </w:p>
        </w:tc>
        <w:tc>
          <w:tcPr>
            <w:vAlign w:val="center"/>
          </w:tcPr>
          <w:p w14:paraId="349BAC29">
            <w:pPr>
              <w:jc w:val="center"/>
            </w:pPr>
            <w:r>
              <w:t>66</w:t>
            </w:r>
          </w:p>
        </w:tc>
        <w:tc>
          <w:tcPr>
            <w:vAlign w:val="center"/>
          </w:tcPr>
          <w:p w14:paraId="721C990A">
            <w:pPr>
              <w:jc w:val="center"/>
            </w:pPr>
            <w:r>
              <w:t>619.44</w:t>
            </w:r>
          </w:p>
        </w:tc>
        <w:tc>
          <w:tcPr>
            <w:vAlign w:val="center"/>
          </w:tcPr>
          <w:p w14:paraId="1300708A">
            <w:pPr>
              <w:jc w:val="center"/>
            </w:pPr>
            <w:r>
              <w:t>233.33</w:t>
            </w:r>
          </w:p>
        </w:tc>
        <w:tc>
          <w:tcPr>
            <w:vAlign w:val="center"/>
          </w:tcPr>
          <w:p w14:paraId="57C828E2">
            <w:pPr>
              <w:jc w:val="center"/>
            </w:pPr>
            <w:r>
              <w:t>6.0</w:t>
            </w:r>
          </w:p>
        </w:tc>
        <w:tc>
          <w:tcPr>
            <w:vMerge w:val="continue"/>
            <w:vAlign w:val="center"/>
          </w:tcPr>
          <w:p w14:paraId="15233A0F">
            <w:pPr>
              <w:jc w:val="center"/>
            </w:pPr>
          </w:p>
        </w:tc>
      </w:tr>
      <w:tr w14:paraId="2D8483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CC37A4">
            <w:pPr>
              <w:jc w:val="center"/>
            </w:pPr>
            <w:r>
              <w:t>14</w:t>
            </w:r>
          </w:p>
        </w:tc>
        <w:tc>
          <w:tcPr>
            <w:vAlign w:val="center"/>
          </w:tcPr>
          <w:p w14:paraId="61442B4B">
            <w:pPr>
              <w:jc w:val="center"/>
            </w:pPr>
            <w:r>
              <w:t>30.7</w:t>
            </w:r>
          </w:p>
        </w:tc>
        <w:tc>
          <w:tcPr>
            <w:vAlign w:val="center"/>
          </w:tcPr>
          <w:p w14:paraId="7E67AFDD">
            <w:pPr>
              <w:jc w:val="center"/>
            </w:pPr>
            <w:r>
              <w:t>67</w:t>
            </w:r>
          </w:p>
        </w:tc>
        <w:tc>
          <w:tcPr>
            <w:vAlign w:val="center"/>
          </w:tcPr>
          <w:p w14:paraId="11BA4E9F">
            <w:pPr>
              <w:jc w:val="center"/>
            </w:pPr>
            <w:r>
              <w:t>530.56</w:t>
            </w:r>
          </w:p>
        </w:tc>
        <w:tc>
          <w:tcPr>
            <w:vAlign w:val="center"/>
          </w:tcPr>
          <w:p w14:paraId="5B347D92">
            <w:pPr>
              <w:jc w:val="center"/>
            </w:pPr>
            <w:r>
              <w:t>208.33</w:t>
            </w:r>
          </w:p>
        </w:tc>
        <w:tc>
          <w:tcPr>
            <w:vAlign w:val="center"/>
          </w:tcPr>
          <w:p w14:paraId="664E5A85">
            <w:pPr>
              <w:jc w:val="center"/>
            </w:pPr>
            <w:r>
              <w:t>5.2</w:t>
            </w:r>
          </w:p>
        </w:tc>
        <w:tc>
          <w:tcPr>
            <w:vMerge w:val="continue"/>
            <w:vAlign w:val="center"/>
          </w:tcPr>
          <w:p w14:paraId="22DB4F0C">
            <w:pPr>
              <w:jc w:val="center"/>
            </w:pPr>
          </w:p>
        </w:tc>
      </w:tr>
      <w:tr w14:paraId="5A21DE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697A9D">
            <w:pPr>
              <w:jc w:val="center"/>
            </w:pPr>
            <w:r>
              <w:t>15</w:t>
            </w:r>
          </w:p>
        </w:tc>
        <w:tc>
          <w:tcPr>
            <w:vAlign w:val="center"/>
          </w:tcPr>
          <w:p w14:paraId="3C1669DB">
            <w:pPr>
              <w:jc w:val="center"/>
            </w:pPr>
            <w:r>
              <w:t>30.2</w:t>
            </w:r>
          </w:p>
        </w:tc>
        <w:tc>
          <w:tcPr>
            <w:vAlign w:val="center"/>
          </w:tcPr>
          <w:p w14:paraId="03CF3B72">
            <w:pPr>
              <w:jc w:val="center"/>
            </w:pPr>
            <w:r>
              <w:t>69</w:t>
            </w:r>
          </w:p>
        </w:tc>
        <w:tc>
          <w:tcPr>
            <w:vAlign w:val="center"/>
          </w:tcPr>
          <w:p w14:paraId="23AAC0D6">
            <w:pPr>
              <w:jc w:val="center"/>
            </w:pPr>
            <w:r>
              <w:t>411.11</w:t>
            </w:r>
          </w:p>
        </w:tc>
        <w:tc>
          <w:tcPr>
            <w:vAlign w:val="center"/>
          </w:tcPr>
          <w:p w14:paraId="451C9DB6">
            <w:pPr>
              <w:jc w:val="center"/>
            </w:pPr>
            <w:r>
              <w:t>172.22</w:t>
            </w:r>
          </w:p>
        </w:tc>
        <w:tc>
          <w:tcPr>
            <w:vAlign w:val="center"/>
          </w:tcPr>
          <w:p w14:paraId="612C4B5B">
            <w:pPr>
              <w:jc w:val="center"/>
            </w:pPr>
            <w:r>
              <w:t>4.3</w:t>
            </w:r>
          </w:p>
        </w:tc>
        <w:tc>
          <w:tcPr>
            <w:vMerge w:val="continue"/>
            <w:vAlign w:val="center"/>
          </w:tcPr>
          <w:p w14:paraId="03A323BF">
            <w:pPr>
              <w:jc w:val="center"/>
            </w:pPr>
          </w:p>
        </w:tc>
      </w:tr>
      <w:tr w14:paraId="55C08A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A0A4524"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 w14:paraId="127D1604">
            <w:pPr>
              <w:jc w:val="center"/>
            </w:pPr>
            <w:r>
              <w:t>29.4</w:t>
            </w:r>
          </w:p>
        </w:tc>
        <w:tc>
          <w:tcPr>
            <w:vAlign w:val="center"/>
          </w:tcPr>
          <w:p w14:paraId="7396AFBB">
            <w:pPr>
              <w:jc w:val="center"/>
            </w:pPr>
            <w:r>
              <w:t>72</w:t>
            </w:r>
          </w:p>
        </w:tc>
        <w:tc>
          <w:tcPr>
            <w:vAlign w:val="center"/>
          </w:tcPr>
          <w:p w14:paraId="6D1D873E">
            <w:pPr>
              <w:jc w:val="center"/>
            </w:pPr>
            <w:r>
              <w:t>277.78</w:t>
            </w:r>
          </w:p>
        </w:tc>
        <w:tc>
          <w:tcPr>
            <w:vAlign w:val="center"/>
          </w:tcPr>
          <w:p w14:paraId="480BD6F4">
            <w:pPr>
              <w:jc w:val="center"/>
            </w:pPr>
            <w:r>
              <w:t>127.78</w:t>
            </w:r>
          </w:p>
        </w:tc>
        <w:tc>
          <w:tcPr>
            <w:vAlign w:val="center"/>
          </w:tcPr>
          <w:p w14:paraId="576F9117">
            <w:pPr>
              <w:jc w:val="center"/>
            </w:pPr>
            <w:r>
              <w:t>3.5</w:t>
            </w:r>
          </w:p>
        </w:tc>
        <w:tc>
          <w:tcPr>
            <w:vMerge w:val="continue"/>
            <w:vAlign w:val="center"/>
          </w:tcPr>
          <w:p w14:paraId="11D82F42">
            <w:pPr>
              <w:jc w:val="center"/>
            </w:pPr>
          </w:p>
        </w:tc>
      </w:tr>
      <w:tr w14:paraId="5B499F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371CBFE">
            <w:pPr>
              <w:jc w:val="center"/>
            </w:pPr>
            <w:r>
              <w:t>17</w:t>
            </w:r>
          </w:p>
        </w:tc>
        <w:tc>
          <w:tcPr>
            <w:vAlign w:val="center"/>
          </w:tcPr>
          <w:p w14:paraId="61487B46">
            <w:pPr>
              <w:jc w:val="center"/>
            </w:pPr>
            <w:r>
              <w:t>28.5</w:t>
            </w:r>
          </w:p>
        </w:tc>
        <w:tc>
          <w:tcPr>
            <w:vAlign w:val="center"/>
          </w:tcPr>
          <w:p w14:paraId="369FB4B4">
            <w:pPr>
              <w:jc w:val="center"/>
            </w:pPr>
            <w:r>
              <w:t>76</w:t>
            </w:r>
          </w:p>
        </w:tc>
        <w:tc>
          <w:tcPr>
            <w:vAlign w:val="center"/>
          </w:tcPr>
          <w:p w14:paraId="24D74363">
            <w:pPr>
              <w:jc w:val="center"/>
            </w:pPr>
            <w:r>
              <w:t>147.22</w:t>
            </w:r>
          </w:p>
        </w:tc>
        <w:tc>
          <w:tcPr>
            <w:vAlign w:val="center"/>
          </w:tcPr>
          <w:p w14:paraId="3A661C07">
            <w:pPr>
              <w:jc w:val="center"/>
            </w:pPr>
            <w:r>
              <w:t>75.00</w:t>
            </w:r>
          </w:p>
        </w:tc>
        <w:tc>
          <w:tcPr>
            <w:vAlign w:val="center"/>
          </w:tcPr>
          <w:p w14:paraId="338B4499">
            <w:pPr>
              <w:jc w:val="center"/>
            </w:pPr>
            <w:r>
              <w:t>2.7</w:t>
            </w:r>
          </w:p>
        </w:tc>
        <w:tc>
          <w:tcPr>
            <w:vMerge w:val="continue"/>
            <w:vAlign w:val="center"/>
          </w:tcPr>
          <w:p w14:paraId="595C1DCF">
            <w:pPr>
              <w:jc w:val="center"/>
            </w:pPr>
          </w:p>
        </w:tc>
      </w:tr>
      <w:tr w14:paraId="0A6DA2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9806662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5ECED688">
            <w:pPr>
              <w:jc w:val="center"/>
            </w:pPr>
            <w:r>
              <w:t>27.6</w:t>
            </w:r>
          </w:p>
        </w:tc>
        <w:tc>
          <w:tcPr>
            <w:vAlign w:val="center"/>
          </w:tcPr>
          <w:p w14:paraId="3E05D225">
            <w:pPr>
              <w:jc w:val="center"/>
            </w:pPr>
            <w:r>
              <w:t>80</w:t>
            </w:r>
          </w:p>
        </w:tc>
        <w:tc>
          <w:tcPr>
            <w:vAlign w:val="center"/>
          </w:tcPr>
          <w:p w14:paraId="0530B3D0">
            <w:pPr>
              <w:jc w:val="center"/>
            </w:pPr>
            <w:r>
              <w:t>33.33</w:t>
            </w:r>
          </w:p>
        </w:tc>
        <w:tc>
          <w:tcPr>
            <w:vAlign w:val="center"/>
          </w:tcPr>
          <w:p w14:paraId="749CAEDC">
            <w:pPr>
              <w:jc w:val="center"/>
            </w:pPr>
            <w:r>
              <w:t>19.44</w:t>
            </w:r>
          </w:p>
        </w:tc>
        <w:tc>
          <w:tcPr>
            <w:vAlign w:val="center"/>
          </w:tcPr>
          <w:p w14:paraId="46D9BC43">
            <w:pPr>
              <w:jc w:val="center"/>
            </w:pPr>
            <w:r>
              <w:t>1.8</w:t>
            </w:r>
          </w:p>
        </w:tc>
        <w:tc>
          <w:tcPr>
            <w:vMerge w:val="continue"/>
            <w:vAlign w:val="center"/>
          </w:tcPr>
          <w:p w14:paraId="3787A681">
            <w:pPr>
              <w:jc w:val="center"/>
            </w:pPr>
          </w:p>
        </w:tc>
      </w:tr>
      <w:tr w14:paraId="047649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230FD97">
            <w:pPr>
              <w:jc w:val="center"/>
            </w:pPr>
            <w:r>
              <w:t>19</w:t>
            </w:r>
          </w:p>
        </w:tc>
        <w:tc>
          <w:tcPr>
            <w:vAlign w:val="center"/>
          </w:tcPr>
          <w:p w14:paraId="3A0013F7">
            <w:pPr>
              <w:jc w:val="center"/>
            </w:pPr>
            <w:r>
              <w:t>26.7</w:t>
            </w:r>
          </w:p>
        </w:tc>
        <w:tc>
          <w:tcPr>
            <w:vAlign w:val="center"/>
          </w:tcPr>
          <w:p w14:paraId="6A693960">
            <w:pPr>
              <w:jc w:val="center"/>
            </w:pPr>
            <w:r>
              <w:t>84</w:t>
            </w:r>
          </w:p>
        </w:tc>
        <w:tc>
          <w:tcPr>
            <w:vAlign w:val="center"/>
          </w:tcPr>
          <w:p w14:paraId="524FB93F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09D5BFEE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3703E81A">
            <w:pPr>
              <w:jc w:val="center"/>
            </w:pPr>
            <w:r>
              <w:t>1.0</w:t>
            </w:r>
          </w:p>
        </w:tc>
        <w:tc>
          <w:tcPr>
            <w:vMerge w:val="continue"/>
            <w:vAlign w:val="center"/>
          </w:tcPr>
          <w:p w14:paraId="0AC69A46">
            <w:pPr>
              <w:jc w:val="center"/>
            </w:pPr>
          </w:p>
        </w:tc>
      </w:tr>
      <w:tr w14:paraId="050FD7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E02A9A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68B228AD">
            <w:pPr>
              <w:jc w:val="center"/>
            </w:pPr>
            <w:r>
              <w:t>26.0</w:t>
            </w:r>
          </w:p>
        </w:tc>
        <w:tc>
          <w:tcPr>
            <w:vAlign w:val="center"/>
          </w:tcPr>
          <w:p w14:paraId="01C58C26">
            <w:pPr>
              <w:jc w:val="center"/>
            </w:pPr>
            <w:r>
              <w:t>87</w:t>
            </w:r>
          </w:p>
        </w:tc>
        <w:tc>
          <w:tcPr>
            <w:vAlign w:val="center"/>
          </w:tcPr>
          <w:p w14:paraId="1B8AD7B9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5075AFAF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0E024F64">
            <w:pPr>
              <w:jc w:val="center"/>
            </w:pPr>
            <w:r>
              <w:t>1.3</w:t>
            </w:r>
          </w:p>
        </w:tc>
        <w:tc>
          <w:tcPr>
            <w:vMerge w:val="continue"/>
            <w:vAlign w:val="center"/>
          </w:tcPr>
          <w:p w14:paraId="211CAE8B">
            <w:pPr>
              <w:jc w:val="center"/>
            </w:pPr>
          </w:p>
        </w:tc>
      </w:tr>
      <w:tr w14:paraId="1FF8AB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D91FB19">
            <w:pPr>
              <w:jc w:val="center"/>
            </w:pPr>
            <w:r>
              <w:t>21</w:t>
            </w:r>
          </w:p>
        </w:tc>
        <w:tc>
          <w:tcPr>
            <w:vAlign w:val="center"/>
          </w:tcPr>
          <w:p w14:paraId="09C2A29E">
            <w:pPr>
              <w:jc w:val="center"/>
            </w:pPr>
            <w:r>
              <w:t>25.5</w:t>
            </w:r>
          </w:p>
        </w:tc>
        <w:tc>
          <w:tcPr>
            <w:vAlign w:val="center"/>
          </w:tcPr>
          <w:p w14:paraId="46444247">
            <w:pPr>
              <w:jc w:val="center"/>
            </w:pPr>
            <w:r>
              <w:t>90</w:t>
            </w:r>
          </w:p>
        </w:tc>
        <w:tc>
          <w:tcPr>
            <w:vAlign w:val="center"/>
          </w:tcPr>
          <w:p w14:paraId="14C333C0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699CCA29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04087217">
            <w:pPr>
              <w:jc w:val="center"/>
            </w:pPr>
            <w:r>
              <w:t>1.7</w:t>
            </w:r>
          </w:p>
        </w:tc>
        <w:tc>
          <w:tcPr>
            <w:vMerge w:val="continue"/>
            <w:vAlign w:val="center"/>
          </w:tcPr>
          <w:p w14:paraId="1E0E134C">
            <w:pPr>
              <w:jc w:val="center"/>
            </w:pPr>
          </w:p>
        </w:tc>
      </w:tr>
      <w:tr w14:paraId="1B6472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E20258B">
            <w:pPr>
              <w:jc w:val="center"/>
            </w:pPr>
            <w:r>
              <w:t>22</w:t>
            </w:r>
          </w:p>
        </w:tc>
        <w:tc>
          <w:tcPr>
            <w:vAlign w:val="center"/>
          </w:tcPr>
          <w:p w14:paraId="73081C4F">
            <w:pPr>
              <w:jc w:val="center"/>
            </w:pPr>
            <w:r>
              <w:t>25.1</w:t>
            </w:r>
          </w:p>
        </w:tc>
        <w:tc>
          <w:tcPr>
            <w:vAlign w:val="center"/>
          </w:tcPr>
          <w:p w14:paraId="67BADA3A">
            <w:pPr>
              <w:jc w:val="center"/>
            </w:pPr>
            <w:r>
              <w:t>92</w:t>
            </w:r>
          </w:p>
        </w:tc>
        <w:tc>
          <w:tcPr>
            <w:vAlign w:val="center"/>
          </w:tcPr>
          <w:p w14:paraId="1C26EE97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6D309917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0CCA7375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6D12D9B3">
            <w:pPr>
              <w:jc w:val="center"/>
            </w:pPr>
          </w:p>
        </w:tc>
      </w:tr>
      <w:tr w14:paraId="151D4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690C432">
            <w:pPr>
              <w:jc w:val="center"/>
            </w:pPr>
            <w:r>
              <w:t>23</w:t>
            </w:r>
          </w:p>
        </w:tc>
        <w:tc>
          <w:tcPr>
            <w:vAlign w:val="center"/>
          </w:tcPr>
          <w:p w14:paraId="1D04D18B">
            <w:pPr>
              <w:jc w:val="center"/>
            </w:pPr>
            <w:r>
              <w:t>24.7</w:t>
            </w:r>
          </w:p>
        </w:tc>
        <w:tc>
          <w:tcPr>
            <w:vAlign w:val="center"/>
          </w:tcPr>
          <w:p w14:paraId="29ADC128">
            <w:pPr>
              <w:jc w:val="center"/>
            </w:pPr>
            <w:r>
              <w:t>94</w:t>
            </w:r>
          </w:p>
        </w:tc>
        <w:tc>
          <w:tcPr>
            <w:vAlign w:val="center"/>
          </w:tcPr>
          <w:p w14:paraId="59BC4DC4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3CFF316C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49FF8C07">
            <w:pPr>
              <w:jc w:val="center"/>
            </w:pPr>
            <w:r>
              <w:t>2.3</w:t>
            </w:r>
          </w:p>
        </w:tc>
        <w:tc>
          <w:tcPr>
            <w:vMerge w:val="continue"/>
            <w:vAlign w:val="center"/>
          </w:tcPr>
          <w:p w14:paraId="60247F0D">
            <w:pPr>
              <w:jc w:val="center"/>
            </w:pPr>
          </w:p>
        </w:tc>
      </w:tr>
      <w:tr w14:paraId="127BB3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F9AE182">
            <w:pPr>
              <w:jc w:val="center"/>
            </w:pPr>
            <w:r>
              <w:t>日平均</w:t>
            </w:r>
          </w:p>
        </w:tc>
        <w:tc>
          <w:tcPr>
            <w:vAlign w:val="center"/>
          </w:tcPr>
          <w:p w14:paraId="1D3FDFB3">
            <w:pPr>
              <w:jc w:val="center"/>
            </w:pPr>
            <w:r>
              <w:t>27.3</w:t>
            </w:r>
          </w:p>
        </w:tc>
        <w:tc>
          <w:tcPr>
            <w:vAlign w:val="center"/>
          </w:tcPr>
          <w:p w14:paraId="717D5049">
            <w:pPr>
              <w:jc w:val="center"/>
            </w:pPr>
            <w:r>
              <w:t>80</w:t>
            </w:r>
          </w:p>
        </w:tc>
        <w:tc>
          <w:tcPr>
            <w:vAlign w:val="center"/>
          </w:tcPr>
          <w:p w14:paraId="26E83E0E">
            <w:pPr>
              <w:jc w:val="center"/>
            </w:pPr>
            <w:r>
              <w:t>209.61</w:t>
            </w:r>
          </w:p>
        </w:tc>
        <w:tc>
          <w:tcPr>
            <w:vAlign w:val="center"/>
          </w:tcPr>
          <w:p w14:paraId="03091508">
            <w:pPr>
              <w:jc w:val="center"/>
            </w:pPr>
            <w:r>
              <w:t>83.91</w:t>
            </w:r>
          </w:p>
        </w:tc>
        <w:tc>
          <w:tcPr>
            <w:vAlign w:val="center"/>
          </w:tcPr>
          <w:p w14:paraId="6F86DE1B">
            <w:pPr>
              <w:jc w:val="center"/>
            </w:pPr>
            <w:r>
              <w:t>2.8</w:t>
            </w:r>
          </w:p>
        </w:tc>
        <w:tc>
          <w:tcPr>
            <w:vMerge w:val="continue"/>
            <w:vAlign w:val="center"/>
          </w:tcPr>
          <w:p w14:paraId="3F1BE5B9">
            <w:pPr>
              <w:jc w:val="center"/>
            </w:pPr>
          </w:p>
        </w:tc>
      </w:tr>
    </w:tbl>
    <w:p w14:paraId="75010CC1">
      <w:pPr>
        <w:pStyle w:val="3"/>
        <w:ind w:firstLine="0" w:firstLineChars="0"/>
        <w:rPr>
          <w:lang w:val="en-US"/>
        </w:rPr>
      </w:pPr>
      <w:bookmarkStart w:id="26" w:name="气象参数"/>
      <w:bookmarkEnd w:id="26"/>
    </w:p>
    <w:p w14:paraId="44534F6F">
      <w:pPr>
        <w:pStyle w:val="4"/>
      </w:pPr>
      <w:bookmarkStart w:id="27" w:name="_Toc15891"/>
      <w:r>
        <w:rPr>
          <w:rFonts w:hint="eastAsia"/>
        </w:rPr>
        <w:t>渗透面夏季逐时蒸发量</w:t>
      </w:r>
      <w:bookmarkEnd w:id="27"/>
    </w:p>
    <w:tbl>
      <w:tblPr>
        <w:tblStyle w:val="20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 w14:paraId="745D48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62F7C1D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7C8E5B0D">
            <w:pPr>
              <w:jc w:val="center"/>
            </w:pPr>
            <w:r>
              <w:t>水面(kg/(㎡.h))</w:t>
            </w:r>
          </w:p>
        </w:tc>
        <w:tc>
          <w:tcPr>
            <w:shd w:val="clear" w:color="auto" w:fill="E6E6E6"/>
            <w:vAlign w:val="center"/>
          </w:tcPr>
          <w:p w14:paraId="25438F54">
            <w:pPr>
              <w:jc w:val="center"/>
            </w:pPr>
            <w:r>
              <w:t>绿地(kg/(㎡.h))</w:t>
            </w:r>
          </w:p>
        </w:tc>
        <w:tc>
          <w:tcPr>
            <w:shd w:val="clear" w:color="auto" w:fill="E6E6E6"/>
            <w:vAlign w:val="center"/>
          </w:tcPr>
          <w:p w14:paraId="6EA87B0F">
            <w:pPr>
              <w:jc w:val="center"/>
            </w:pPr>
            <w:r>
              <w:t>渗透型硬地</w:t>
            </w:r>
            <w:r>
              <w:br w:type="textWrapping"/>
            </w:r>
            <w:r>
              <w:t>(kg/(㎡.h))</w:t>
            </w:r>
          </w:p>
        </w:tc>
        <w:tc>
          <w:tcPr>
            <w:shd w:val="clear" w:color="auto" w:fill="E6E6E6"/>
            <w:vAlign w:val="center"/>
          </w:tcPr>
          <w:p w14:paraId="45A1D91E">
            <w:pPr>
              <w:jc w:val="center"/>
            </w:pPr>
            <w:r>
              <w:t>绿化屋面</w:t>
            </w:r>
            <w:r>
              <w:br w:type="textWrapping"/>
            </w:r>
            <w:r>
              <w:t>(kg/(㎡.h))</w:t>
            </w:r>
          </w:p>
        </w:tc>
      </w:tr>
      <w:tr w14:paraId="2353C9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AF8F22">
            <w:pPr>
              <w:jc w:val="center"/>
            </w:pPr>
            <w:r>
              <w:t>0</w:t>
            </w:r>
          </w:p>
        </w:tc>
        <w:tc>
          <w:tcPr>
            <w:vAlign w:val="center"/>
          </w:tcPr>
          <w:p w14:paraId="0BD2BE46"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 w14:paraId="18E1CC95">
            <w:pPr>
              <w:jc w:val="center"/>
            </w:pPr>
            <w:r>
              <w:t>0.24</w:t>
            </w:r>
          </w:p>
        </w:tc>
        <w:tc>
          <w:tcPr>
            <w:vAlign w:val="center"/>
          </w:tcPr>
          <w:p w14:paraId="68AB1AC3"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 w14:paraId="20C9636C">
            <w:pPr>
              <w:jc w:val="center"/>
            </w:pPr>
            <w:r>
              <w:t>0.19</w:t>
            </w:r>
          </w:p>
        </w:tc>
      </w:tr>
      <w:tr w14:paraId="2BEFDF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F3FA9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D18519E"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 w14:paraId="592C3CDB">
            <w:pPr>
              <w:jc w:val="center"/>
            </w:pPr>
            <w:r>
              <w:t>0.19</w:t>
            </w:r>
          </w:p>
        </w:tc>
        <w:tc>
          <w:tcPr>
            <w:vAlign w:val="center"/>
          </w:tcPr>
          <w:p w14:paraId="4F8C71BA">
            <w:pPr>
              <w:jc w:val="center"/>
            </w:pPr>
            <w:r>
              <w:t>0.06</w:t>
            </w:r>
          </w:p>
        </w:tc>
        <w:tc>
          <w:tcPr>
            <w:vAlign w:val="center"/>
          </w:tcPr>
          <w:p w14:paraId="6C16F4FC">
            <w:pPr>
              <w:jc w:val="center"/>
            </w:pPr>
            <w:r>
              <w:t>0.15</w:t>
            </w:r>
          </w:p>
        </w:tc>
      </w:tr>
      <w:tr w14:paraId="6E0B40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6EB70F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6587C9FF">
            <w:pPr>
              <w:jc w:val="center"/>
            </w:pPr>
            <w:r>
              <w:t>0.08</w:t>
            </w:r>
          </w:p>
        </w:tc>
        <w:tc>
          <w:tcPr>
            <w:vAlign w:val="center"/>
          </w:tcPr>
          <w:p w14:paraId="3AF31B17">
            <w:pPr>
              <w:jc w:val="center"/>
            </w:pPr>
            <w:r>
              <w:t>0.15</w:t>
            </w:r>
          </w:p>
        </w:tc>
        <w:tc>
          <w:tcPr>
            <w:vAlign w:val="center"/>
          </w:tcPr>
          <w:p w14:paraId="00FBD645">
            <w:pPr>
              <w:jc w:val="center"/>
            </w:pPr>
            <w:r>
              <w:t>0.06</w:t>
            </w:r>
          </w:p>
        </w:tc>
        <w:tc>
          <w:tcPr>
            <w:vAlign w:val="center"/>
          </w:tcPr>
          <w:p w14:paraId="69F09E76">
            <w:pPr>
              <w:jc w:val="center"/>
            </w:pPr>
            <w:r>
              <w:t>0.12</w:t>
            </w:r>
          </w:p>
        </w:tc>
      </w:tr>
      <w:tr w14:paraId="7DCA78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271275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7625B763">
            <w:pPr>
              <w:jc w:val="center"/>
            </w:pPr>
            <w:r>
              <w:t>0.08</w:t>
            </w:r>
          </w:p>
        </w:tc>
        <w:tc>
          <w:tcPr>
            <w:vAlign w:val="center"/>
          </w:tcPr>
          <w:p w14:paraId="285ABD11">
            <w:pPr>
              <w:jc w:val="center"/>
            </w:pPr>
            <w:r>
              <w:t>0.14</w:t>
            </w:r>
          </w:p>
        </w:tc>
        <w:tc>
          <w:tcPr>
            <w:vAlign w:val="center"/>
          </w:tcPr>
          <w:p w14:paraId="73B90E8B">
            <w:pPr>
              <w:jc w:val="center"/>
            </w:pPr>
            <w:r>
              <w:t>0.05</w:t>
            </w:r>
          </w:p>
        </w:tc>
        <w:tc>
          <w:tcPr>
            <w:vAlign w:val="center"/>
          </w:tcPr>
          <w:p w14:paraId="6FED837C">
            <w:pPr>
              <w:jc w:val="center"/>
            </w:pPr>
            <w:r>
              <w:t>0.11</w:t>
            </w:r>
          </w:p>
        </w:tc>
      </w:tr>
      <w:tr w14:paraId="68983A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87B3C17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71858A02"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 w14:paraId="1974AEAD">
            <w:pPr>
              <w:jc w:val="center"/>
            </w:pPr>
            <w:r>
              <w:t>0.13</w:t>
            </w:r>
          </w:p>
        </w:tc>
        <w:tc>
          <w:tcPr>
            <w:vAlign w:val="center"/>
          </w:tcPr>
          <w:p w14:paraId="77282B7C">
            <w:pPr>
              <w:jc w:val="center"/>
            </w:pPr>
            <w:r>
              <w:t>0.05</w:t>
            </w:r>
          </w:p>
        </w:tc>
        <w:tc>
          <w:tcPr>
            <w:vAlign w:val="center"/>
          </w:tcPr>
          <w:p w14:paraId="0D20E19D">
            <w:pPr>
              <w:jc w:val="center"/>
            </w:pPr>
            <w:r>
              <w:t>0.11</w:t>
            </w:r>
          </w:p>
        </w:tc>
      </w:tr>
      <w:tr w14:paraId="60EE56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BC68EF5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2EF9C96D"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 w14:paraId="192F34CB">
            <w:pPr>
              <w:jc w:val="center"/>
            </w:pPr>
            <w:r>
              <w:t>0.16</w:t>
            </w:r>
          </w:p>
        </w:tc>
        <w:tc>
          <w:tcPr>
            <w:vAlign w:val="center"/>
          </w:tcPr>
          <w:p w14:paraId="35289BFD">
            <w:pPr>
              <w:jc w:val="center"/>
            </w:pPr>
            <w:r>
              <w:t>0.05</w:t>
            </w:r>
          </w:p>
        </w:tc>
        <w:tc>
          <w:tcPr>
            <w:vAlign w:val="center"/>
          </w:tcPr>
          <w:p w14:paraId="3237802B">
            <w:pPr>
              <w:jc w:val="center"/>
            </w:pPr>
            <w:r>
              <w:t>0.13</w:t>
            </w:r>
          </w:p>
        </w:tc>
      </w:tr>
      <w:tr w14:paraId="415019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26076BB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4A6B75D9">
            <w:pPr>
              <w:jc w:val="center"/>
            </w:pPr>
            <w:r>
              <w:t>0.18</w:t>
            </w:r>
          </w:p>
        </w:tc>
        <w:tc>
          <w:tcPr>
            <w:vAlign w:val="center"/>
          </w:tcPr>
          <w:p w14:paraId="7657A120">
            <w:pPr>
              <w:jc w:val="center"/>
            </w:pPr>
            <w:r>
              <w:t>0.22</w:t>
            </w:r>
          </w:p>
        </w:tc>
        <w:tc>
          <w:tcPr>
            <w:vAlign w:val="center"/>
          </w:tcPr>
          <w:p w14:paraId="205B4B0E">
            <w:pPr>
              <w:jc w:val="center"/>
            </w:pPr>
            <w:r>
              <w:t>0.08</w:t>
            </w:r>
          </w:p>
        </w:tc>
        <w:tc>
          <w:tcPr>
            <w:vAlign w:val="center"/>
          </w:tcPr>
          <w:p w14:paraId="0BF1EBE4">
            <w:pPr>
              <w:jc w:val="center"/>
            </w:pPr>
            <w:r>
              <w:t>0.18</w:t>
            </w:r>
          </w:p>
        </w:tc>
      </w:tr>
      <w:tr w14:paraId="238D3F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886E85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0742B027">
            <w:pPr>
              <w:jc w:val="center"/>
            </w:pPr>
            <w:r>
              <w:t>0.34</w:t>
            </w:r>
          </w:p>
        </w:tc>
        <w:tc>
          <w:tcPr>
            <w:vAlign w:val="center"/>
          </w:tcPr>
          <w:p w14:paraId="2E794046">
            <w:pPr>
              <w:jc w:val="center"/>
            </w:pPr>
            <w:r>
              <w:t>0.33</w:t>
            </w:r>
          </w:p>
        </w:tc>
        <w:tc>
          <w:tcPr>
            <w:vAlign w:val="center"/>
          </w:tcPr>
          <w:p w14:paraId="30435900"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 w14:paraId="5775D9DF">
            <w:pPr>
              <w:jc w:val="center"/>
            </w:pPr>
            <w:r>
              <w:t>0.26</w:t>
            </w:r>
          </w:p>
        </w:tc>
      </w:tr>
      <w:tr w14:paraId="20172F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8D87F50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5987BC4D">
            <w:pPr>
              <w:jc w:val="center"/>
            </w:pPr>
            <w:r>
              <w:t>0.52</w:t>
            </w:r>
          </w:p>
        </w:tc>
        <w:tc>
          <w:tcPr>
            <w:vAlign w:val="center"/>
          </w:tcPr>
          <w:p w14:paraId="695F8AF8">
            <w:pPr>
              <w:jc w:val="center"/>
            </w:pPr>
            <w:r>
              <w:t>0.43</w:t>
            </w:r>
          </w:p>
        </w:tc>
        <w:tc>
          <w:tcPr>
            <w:vAlign w:val="center"/>
          </w:tcPr>
          <w:p w14:paraId="39682FE0"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 w14:paraId="246753ED">
            <w:pPr>
              <w:jc w:val="center"/>
            </w:pPr>
            <w:r>
              <w:t>0.34</w:t>
            </w:r>
          </w:p>
        </w:tc>
      </w:tr>
      <w:tr w14:paraId="6B8B1E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C4D679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21DE9894">
            <w:pPr>
              <w:jc w:val="center"/>
            </w:pPr>
            <w:r>
              <w:t>0.75</w:t>
            </w:r>
          </w:p>
        </w:tc>
        <w:tc>
          <w:tcPr>
            <w:vAlign w:val="center"/>
          </w:tcPr>
          <w:p w14:paraId="7F89C40E">
            <w:pPr>
              <w:jc w:val="center"/>
            </w:pPr>
            <w:r>
              <w:t>0.53</w:t>
            </w:r>
          </w:p>
        </w:tc>
        <w:tc>
          <w:tcPr>
            <w:vAlign w:val="center"/>
          </w:tcPr>
          <w:p w14:paraId="53B3E657"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 w14:paraId="3F65656A">
            <w:pPr>
              <w:jc w:val="center"/>
            </w:pPr>
            <w:r>
              <w:t>0.42</w:t>
            </w:r>
          </w:p>
        </w:tc>
      </w:tr>
      <w:tr w14:paraId="10308F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A1F2B5D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012C4C18">
            <w:pPr>
              <w:jc w:val="center"/>
            </w:pPr>
            <w:r>
              <w:t>0.89</w:t>
            </w:r>
          </w:p>
        </w:tc>
        <w:tc>
          <w:tcPr>
            <w:vAlign w:val="center"/>
          </w:tcPr>
          <w:p w14:paraId="34D828ED">
            <w:pPr>
              <w:jc w:val="center"/>
            </w:pPr>
            <w:r>
              <w:t>0.55</w:t>
            </w:r>
          </w:p>
        </w:tc>
        <w:tc>
          <w:tcPr>
            <w:vAlign w:val="center"/>
          </w:tcPr>
          <w:p w14:paraId="350F178B"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 w14:paraId="6325D4B6">
            <w:pPr>
              <w:jc w:val="center"/>
            </w:pPr>
            <w:r>
              <w:t>0.44</w:t>
            </w:r>
          </w:p>
        </w:tc>
      </w:tr>
      <w:tr w14:paraId="693023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5D5C4DC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6FC3205F">
            <w:pPr>
              <w:jc w:val="center"/>
            </w:pPr>
            <w:r>
              <w:t>1.05</w:t>
            </w:r>
          </w:p>
        </w:tc>
        <w:tc>
          <w:tcPr>
            <w:vAlign w:val="center"/>
          </w:tcPr>
          <w:p w14:paraId="72049C4C">
            <w:pPr>
              <w:jc w:val="center"/>
            </w:pPr>
            <w:r>
              <w:t>0.54</w:t>
            </w:r>
          </w:p>
        </w:tc>
        <w:tc>
          <w:tcPr>
            <w:vAlign w:val="center"/>
          </w:tcPr>
          <w:p w14:paraId="1C21A03C"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 w14:paraId="36A5533C">
            <w:pPr>
              <w:jc w:val="center"/>
            </w:pPr>
            <w:r>
              <w:t>0.43</w:t>
            </w:r>
          </w:p>
        </w:tc>
      </w:tr>
      <w:tr w14:paraId="0CCFCD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AAC30E1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5DC05D8F">
            <w:pPr>
              <w:jc w:val="center"/>
            </w:pPr>
            <w:r>
              <w:t>1.11</w:t>
            </w:r>
          </w:p>
        </w:tc>
        <w:tc>
          <w:tcPr>
            <w:vAlign w:val="center"/>
          </w:tcPr>
          <w:p w14:paraId="3504D4DC">
            <w:pPr>
              <w:jc w:val="center"/>
            </w:pPr>
            <w:r>
              <w:t>0.50</w:t>
            </w:r>
          </w:p>
        </w:tc>
        <w:tc>
          <w:tcPr>
            <w:vAlign w:val="center"/>
          </w:tcPr>
          <w:p w14:paraId="738069F0"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 w14:paraId="6C282FB3">
            <w:pPr>
              <w:jc w:val="center"/>
            </w:pPr>
            <w:r>
              <w:t>0.40</w:t>
            </w:r>
          </w:p>
        </w:tc>
      </w:tr>
      <w:tr w14:paraId="3B15A2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934187">
            <w:pPr>
              <w:jc w:val="center"/>
            </w:pPr>
            <w:r>
              <w:t>13</w:t>
            </w:r>
          </w:p>
        </w:tc>
        <w:tc>
          <w:tcPr>
            <w:vAlign w:val="center"/>
          </w:tcPr>
          <w:p w14:paraId="5D13E007">
            <w:pPr>
              <w:jc w:val="center"/>
            </w:pPr>
            <w:r>
              <w:t>1.03</w:t>
            </w:r>
          </w:p>
        </w:tc>
        <w:tc>
          <w:tcPr>
            <w:vAlign w:val="center"/>
          </w:tcPr>
          <w:p w14:paraId="3AB21EFA">
            <w:pPr>
              <w:jc w:val="center"/>
            </w:pPr>
            <w:r>
              <w:t>0.43</w:t>
            </w:r>
          </w:p>
        </w:tc>
        <w:tc>
          <w:tcPr>
            <w:vAlign w:val="center"/>
          </w:tcPr>
          <w:p w14:paraId="04D2FDB1"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 w14:paraId="2FCABB99">
            <w:pPr>
              <w:jc w:val="center"/>
            </w:pPr>
            <w:r>
              <w:t>0.35</w:t>
            </w:r>
          </w:p>
        </w:tc>
      </w:tr>
      <w:tr w14:paraId="63AB0E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2F242BC">
            <w:pPr>
              <w:jc w:val="center"/>
            </w:pPr>
            <w:r>
              <w:t>14</w:t>
            </w:r>
          </w:p>
        </w:tc>
        <w:tc>
          <w:tcPr>
            <w:vAlign w:val="center"/>
          </w:tcPr>
          <w:p w14:paraId="3D7B2DF2">
            <w:pPr>
              <w:jc w:val="center"/>
            </w:pPr>
            <w:r>
              <w:t>0.92</w:t>
            </w:r>
          </w:p>
        </w:tc>
        <w:tc>
          <w:tcPr>
            <w:vAlign w:val="center"/>
          </w:tcPr>
          <w:p w14:paraId="42402D82">
            <w:pPr>
              <w:jc w:val="center"/>
            </w:pPr>
            <w:r>
              <w:t>0.34</w:t>
            </w:r>
          </w:p>
        </w:tc>
        <w:tc>
          <w:tcPr>
            <w:vAlign w:val="center"/>
          </w:tcPr>
          <w:p w14:paraId="435D0C51">
            <w:pPr>
              <w:jc w:val="center"/>
            </w:pPr>
            <w:r>
              <w:t>0.06</w:t>
            </w:r>
          </w:p>
        </w:tc>
        <w:tc>
          <w:tcPr>
            <w:vAlign w:val="center"/>
          </w:tcPr>
          <w:p w14:paraId="74745CEC">
            <w:pPr>
              <w:jc w:val="center"/>
            </w:pPr>
            <w:r>
              <w:t>0.27</w:t>
            </w:r>
          </w:p>
        </w:tc>
      </w:tr>
      <w:tr w14:paraId="4285FF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FD3FFE1">
            <w:pPr>
              <w:jc w:val="center"/>
            </w:pPr>
            <w:r>
              <w:t>15</w:t>
            </w:r>
          </w:p>
        </w:tc>
        <w:tc>
          <w:tcPr>
            <w:vAlign w:val="center"/>
          </w:tcPr>
          <w:p w14:paraId="0453EC7D">
            <w:pPr>
              <w:jc w:val="center"/>
            </w:pPr>
            <w:r>
              <w:t>0.78</w:t>
            </w:r>
          </w:p>
        </w:tc>
        <w:tc>
          <w:tcPr>
            <w:vAlign w:val="center"/>
          </w:tcPr>
          <w:p w14:paraId="13F8FA61">
            <w:pPr>
              <w:jc w:val="center"/>
            </w:pPr>
            <w:r>
              <w:t>0.29</w:t>
            </w:r>
          </w:p>
        </w:tc>
        <w:tc>
          <w:tcPr>
            <w:vAlign w:val="center"/>
          </w:tcPr>
          <w:p w14:paraId="2B25D741">
            <w:pPr>
              <w:jc w:val="center"/>
            </w:pPr>
            <w:r>
              <w:t>0.04</w:t>
            </w:r>
          </w:p>
        </w:tc>
        <w:tc>
          <w:tcPr>
            <w:vAlign w:val="center"/>
          </w:tcPr>
          <w:p w14:paraId="7C15F28B">
            <w:pPr>
              <w:jc w:val="center"/>
            </w:pPr>
            <w:r>
              <w:t>0.23</w:t>
            </w:r>
          </w:p>
        </w:tc>
      </w:tr>
      <w:tr w14:paraId="6EE00E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1FF3B3"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 w14:paraId="09322911">
            <w:pPr>
              <w:jc w:val="center"/>
            </w:pPr>
            <w:r>
              <w:t>0.60</w:t>
            </w:r>
          </w:p>
        </w:tc>
        <w:tc>
          <w:tcPr>
            <w:vAlign w:val="center"/>
          </w:tcPr>
          <w:p w14:paraId="301CDA17">
            <w:pPr>
              <w:jc w:val="center"/>
            </w:pPr>
            <w:r>
              <w:t>0.22</w:t>
            </w:r>
          </w:p>
        </w:tc>
        <w:tc>
          <w:tcPr>
            <w:vAlign w:val="center"/>
          </w:tcPr>
          <w:p w14:paraId="1094C26A">
            <w:pPr>
              <w:jc w:val="center"/>
            </w:pPr>
            <w:r>
              <w:t>0.04</w:t>
            </w:r>
          </w:p>
        </w:tc>
        <w:tc>
          <w:tcPr>
            <w:vAlign w:val="center"/>
          </w:tcPr>
          <w:p w14:paraId="1F407300">
            <w:pPr>
              <w:jc w:val="center"/>
            </w:pPr>
            <w:r>
              <w:t>0.17</w:t>
            </w:r>
          </w:p>
        </w:tc>
      </w:tr>
      <w:tr w14:paraId="0F2D0E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33869B3">
            <w:pPr>
              <w:jc w:val="center"/>
            </w:pPr>
            <w:r>
              <w:t>17</w:t>
            </w:r>
          </w:p>
        </w:tc>
        <w:tc>
          <w:tcPr>
            <w:vAlign w:val="center"/>
          </w:tcPr>
          <w:p w14:paraId="2C29646B">
            <w:pPr>
              <w:jc w:val="center"/>
            </w:pPr>
            <w:r>
              <w:t>0.39</w:t>
            </w:r>
          </w:p>
        </w:tc>
        <w:tc>
          <w:tcPr>
            <w:vAlign w:val="center"/>
          </w:tcPr>
          <w:p w14:paraId="13B54F2B">
            <w:pPr>
              <w:jc w:val="center"/>
            </w:pPr>
            <w:r>
              <w:t>0.16</w:t>
            </w:r>
          </w:p>
        </w:tc>
        <w:tc>
          <w:tcPr>
            <w:vAlign w:val="center"/>
          </w:tcPr>
          <w:p w14:paraId="5A86B762">
            <w:pPr>
              <w:jc w:val="center"/>
            </w:pPr>
            <w:r>
              <w:t>0.02</w:t>
            </w:r>
          </w:p>
        </w:tc>
        <w:tc>
          <w:tcPr>
            <w:vAlign w:val="center"/>
          </w:tcPr>
          <w:p w14:paraId="132F8DB4">
            <w:pPr>
              <w:jc w:val="center"/>
            </w:pPr>
            <w:r>
              <w:t>0.13</w:t>
            </w:r>
          </w:p>
        </w:tc>
      </w:tr>
      <w:tr w14:paraId="3F19EA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B8077E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37642E8E">
            <w:pPr>
              <w:jc w:val="center"/>
            </w:pPr>
            <w:r>
              <w:t>0.28</w:t>
            </w:r>
          </w:p>
        </w:tc>
        <w:tc>
          <w:tcPr>
            <w:vAlign w:val="center"/>
          </w:tcPr>
          <w:p w14:paraId="0BA88D9E">
            <w:pPr>
              <w:jc w:val="center"/>
            </w:pPr>
            <w:r>
              <w:t>0.12</w:t>
            </w:r>
          </w:p>
        </w:tc>
        <w:tc>
          <w:tcPr>
            <w:vAlign w:val="center"/>
          </w:tcPr>
          <w:p w14:paraId="76BCA861">
            <w:pPr>
              <w:jc w:val="center"/>
            </w:pPr>
            <w:r>
              <w:t>0.02</w:t>
            </w:r>
          </w:p>
        </w:tc>
        <w:tc>
          <w:tcPr>
            <w:vAlign w:val="center"/>
          </w:tcPr>
          <w:p w14:paraId="7D99B122">
            <w:pPr>
              <w:jc w:val="center"/>
            </w:pPr>
            <w:r>
              <w:t>0.09</w:t>
            </w:r>
          </w:p>
        </w:tc>
      </w:tr>
      <w:tr w14:paraId="48549B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44036A3">
            <w:pPr>
              <w:jc w:val="center"/>
            </w:pPr>
            <w:r>
              <w:t>19</w:t>
            </w:r>
          </w:p>
        </w:tc>
        <w:tc>
          <w:tcPr>
            <w:vAlign w:val="center"/>
          </w:tcPr>
          <w:p w14:paraId="48BCFE91">
            <w:pPr>
              <w:jc w:val="center"/>
            </w:pPr>
            <w:r>
              <w:t>0.20</w:t>
            </w:r>
          </w:p>
        </w:tc>
        <w:tc>
          <w:tcPr>
            <w:vAlign w:val="center"/>
          </w:tcPr>
          <w:p w14:paraId="7457C81A"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 w14:paraId="68F802B0">
            <w:pPr>
              <w:jc w:val="center"/>
            </w:pPr>
            <w:r>
              <w:t>0.01</w:t>
            </w:r>
          </w:p>
        </w:tc>
        <w:tc>
          <w:tcPr>
            <w:vAlign w:val="center"/>
          </w:tcPr>
          <w:p w14:paraId="78BC4020">
            <w:pPr>
              <w:jc w:val="center"/>
            </w:pPr>
            <w:r>
              <w:t>0.08</w:t>
            </w:r>
          </w:p>
        </w:tc>
      </w:tr>
      <w:tr w14:paraId="24D181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529C4A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08A7F3A1">
            <w:pPr>
              <w:jc w:val="center"/>
            </w:pPr>
            <w:r>
              <w:t>0.15</w:t>
            </w:r>
          </w:p>
        </w:tc>
        <w:tc>
          <w:tcPr>
            <w:vAlign w:val="center"/>
          </w:tcPr>
          <w:p w14:paraId="6C8643FE"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 w14:paraId="1E5C3D20">
            <w:pPr>
              <w:jc w:val="center"/>
            </w:pPr>
            <w:r>
              <w:t>0.01</w:t>
            </w:r>
          </w:p>
        </w:tc>
        <w:tc>
          <w:tcPr>
            <w:vAlign w:val="center"/>
          </w:tcPr>
          <w:p w14:paraId="5F29C0FC">
            <w:pPr>
              <w:jc w:val="center"/>
            </w:pPr>
            <w:r>
              <w:t>0.06</w:t>
            </w:r>
          </w:p>
        </w:tc>
      </w:tr>
      <w:tr w14:paraId="6311B9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63529D">
            <w:pPr>
              <w:jc w:val="center"/>
            </w:pPr>
            <w:r>
              <w:t>21</w:t>
            </w:r>
          </w:p>
        </w:tc>
        <w:tc>
          <w:tcPr>
            <w:vAlign w:val="center"/>
          </w:tcPr>
          <w:p w14:paraId="21928324">
            <w:pPr>
              <w:jc w:val="center"/>
            </w:pPr>
            <w:r>
              <w:t>0.14</w:t>
            </w:r>
          </w:p>
        </w:tc>
        <w:tc>
          <w:tcPr>
            <w:vAlign w:val="center"/>
          </w:tcPr>
          <w:p w14:paraId="444D1352"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 w14:paraId="3A858239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3C91FBF4">
            <w:pPr>
              <w:jc w:val="center"/>
            </w:pPr>
            <w:r>
              <w:t>0.05</w:t>
            </w:r>
          </w:p>
        </w:tc>
      </w:tr>
      <w:tr w14:paraId="5A65DD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79575C">
            <w:pPr>
              <w:jc w:val="center"/>
            </w:pPr>
            <w:r>
              <w:t>22</w:t>
            </w:r>
          </w:p>
        </w:tc>
        <w:tc>
          <w:tcPr>
            <w:vAlign w:val="center"/>
          </w:tcPr>
          <w:p w14:paraId="21E1EA76">
            <w:pPr>
              <w:jc w:val="center"/>
            </w:pPr>
            <w:r>
              <w:t>0.11</w:t>
            </w:r>
          </w:p>
        </w:tc>
        <w:tc>
          <w:tcPr>
            <w:vAlign w:val="center"/>
          </w:tcPr>
          <w:p w14:paraId="3CD546F8"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 w14:paraId="09ED35A8">
            <w:pPr>
              <w:jc w:val="center"/>
            </w:pPr>
            <w:r>
              <w:t>0.01</w:t>
            </w:r>
          </w:p>
        </w:tc>
        <w:tc>
          <w:tcPr>
            <w:vAlign w:val="center"/>
          </w:tcPr>
          <w:p w14:paraId="6CE093A1">
            <w:pPr>
              <w:jc w:val="center"/>
            </w:pPr>
            <w:r>
              <w:t>0.05</w:t>
            </w:r>
          </w:p>
        </w:tc>
      </w:tr>
      <w:tr w14:paraId="75CD9D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ED3A02">
            <w:pPr>
              <w:jc w:val="center"/>
            </w:pPr>
            <w:r>
              <w:t>23</w:t>
            </w:r>
          </w:p>
        </w:tc>
        <w:tc>
          <w:tcPr>
            <w:vAlign w:val="center"/>
          </w:tcPr>
          <w:p w14:paraId="2DCBF204">
            <w:pPr>
              <w:jc w:val="center"/>
            </w:pPr>
            <w:r>
              <w:t>0.11</w:t>
            </w:r>
          </w:p>
        </w:tc>
        <w:tc>
          <w:tcPr>
            <w:vAlign w:val="center"/>
          </w:tcPr>
          <w:p w14:paraId="7CB14D58">
            <w:pPr>
              <w:jc w:val="center"/>
            </w:pPr>
            <w:r>
              <w:t>0.05</w:t>
            </w:r>
          </w:p>
        </w:tc>
        <w:tc>
          <w:tcPr>
            <w:vAlign w:val="center"/>
          </w:tcPr>
          <w:p w14:paraId="184E7B69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79FDC3C0">
            <w:pPr>
              <w:jc w:val="center"/>
            </w:pPr>
            <w:r>
              <w:t>0.04</w:t>
            </w:r>
          </w:p>
        </w:tc>
      </w:tr>
      <w:tr w14:paraId="393581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6297CC">
            <w:pPr>
              <w:jc w:val="center"/>
            </w:pPr>
            <w:r>
              <w:t>日累计(kg/(㎡.d))</w:t>
            </w:r>
          </w:p>
        </w:tc>
        <w:tc>
          <w:tcPr>
            <w:vAlign w:val="center"/>
          </w:tcPr>
          <w:p w14:paraId="33E2535F">
            <w:pPr>
              <w:jc w:val="center"/>
            </w:pPr>
            <w:r>
              <w:t>10.06</w:t>
            </w:r>
          </w:p>
        </w:tc>
        <w:tc>
          <w:tcPr>
            <w:vAlign w:val="center"/>
          </w:tcPr>
          <w:p w14:paraId="08223F6D">
            <w:pPr>
              <w:jc w:val="center"/>
            </w:pPr>
            <w:r>
              <w:t>6.03</w:t>
            </w:r>
          </w:p>
        </w:tc>
        <w:tc>
          <w:tcPr>
            <w:vAlign w:val="center"/>
          </w:tcPr>
          <w:p w14:paraId="66FE12EE">
            <w:pPr>
              <w:jc w:val="center"/>
            </w:pPr>
            <w:r>
              <w:t>1.30</w:t>
            </w:r>
          </w:p>
        </w:tc>
        <w:tc>
          <w:tcPr>
            <w:vAlign w:val="center"/>
          </w:tcPr>
          <w:p w14:paraId="509608A0">
            <w:pPr>
              <w:jc w:val="center"/>
            </w:pPr>
            <w:r>
              <w:t>4.80</w:t>
            </w:r>
          </w:p>
        </w:tc>
      </w:tr>
    </w:tbl>
    <w:p w14:paraId="4B1B30F6">
      <w:pPr>
        <w:pStyle w:val="3"/>
        <w:ind w:firstLine="0" w:firstLineChars="0"/>
        <w:rPr>
          <w:lang w:val="en-US"/>
        </w:rPr>
      </w:pPr>
      <w:bookmarkStart w:id="28" w:name="蒸发量参数"/>
      <w:bookmarkEnd w:id="28"/>
    </w:p>
    <w:p w14:paraId="6D322CD3">
      <w:pPr>
        <w:pStyle w:val="2"/>
      </w:pPr>
      <w:bookmarkStart w:id="29" w:name="_Toc13696"/>
      <w:r>
        <w:rPr>
          <w:rFonts w:hint="eastAsia"/>
        </w:rPr>
        <w:t>住区指标概览</w:t>
      </w:r>
      <w:bookmarkEnd w:id="29"/>
    </w:p>
    <w:tbl>
      <w:tblPr>
        <w:tblStyle w:val="20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6"/>
        <w:gridCol w:w="4666"/>
      </w:tblGrid>
      <w:tr w14:paraId="16AE1C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38B1AC8">
            <w:pPr>
              <w:jc w:val="center"/>
            </w:pPr>
            <w:r>
              <w:t>指标</w:t>
            </w:r>
          </w:p>
        </w:tc>
        <w:tc>
          <w:tcPr>
            <w:shd w:val="clear" w:color="auto" w:fill="E6E6E6"/>
            <w:vAlign w:val="center"/>
          </w:tcPr>
          <w:p w14:paraId="2DF2FAE6">
            <w:pPr>
              <w:jc w:val="center"/>
            </w:pPr>
            <w:r>
              <w:t>值</w:t>
            </w:r>
          </w:p>
        </w:tc>
      </w:tr>
      <w:tr w14:paraId="6B1FD6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F657C6C">
            <w:r>
              <w:t>地块面积(㎡)</w:t>
            </w:r>
          </w:p>
        </w:tc>
        <w:tc>
          <w:tcPr>
            <w:vAlign w:val="center"/>
          </w:tcPr>
          <w:p w14:paraId="6E12AFDD">
            <w:r>
              <w:t>392724.48</w:t>
            </w:r>
          </w:p>
        </w:tc>
      </w:tr>
      <w:tr w14:paraId="412E61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CC5267A">
            <w:r>
              <w:t>建筑密度</w:t>
            </w:r>
          </w:p>
        </w:tc>
        <w:tc>
          <w:tcPr>
            <w:vAlign w:val="center"/>
          </w:tcPr>
          <w:p w14:paraId="724154A9">
            <w:r>
              <w:t>0.02</w:t>
            </w:r>
          </w:p>
        </w:tc>
      </w:tr>
      <w:tr w14:paraId="646614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B0A0BF">
            <w:r>
              <w:t>室外面积(㎡)</w:t>
            </w:r>
          </w:p>
        </w:tc>
        <w:tc>
          <w:tcPr>
            <w:vAlign w:val="center"/>
          </w:tcPr>
          <w:p w14:paraId="0FBA67A8">
            <w:r>
              <w:t>383358.86</w:t>
            </w:r>
          </w:p>
        </w:tc>
      </w:tr>
      <w:tr w14:paraId="1BFF2F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63F7A2D">
            <w:r>
              <w:t>广场面积(㎡)</w:t>
            </w:r>
          </w:p>
        </w:tc>
        <w:tc>
          <w:tcPr>
            <w:vAlign w:val="center"/>
          </w:tcPr>
          <w:p w14:paraId="15D382AA">
            <w:r>
              <w:t>2547.74</w:t>
            </w:r>
          </w:p>
        </w:tc>
      </w:tr>
      <w:tr w14:paraId="241A56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0C7FDCA">
            <w:r>
              <w:t>游憩场面积(㎡)</w:t>
            </w:r>
          </w:p>
        </w:tc>
        <w:tc>
          <w:tcPr>
            <w:vAlign w:val="center"/>
          </w:tcPr>
          <w:p w14:paraId="5AEADC9A">
            <w:r>
              <w:t>2603.91</w:t>
            </w:r>
          </w:p>
        </w:tc>
      </w:tr>
      <w:tr w14:paraId="589E1F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586FA7">
            <w:r>
              <w:t>人行道面积(㎡)</w:t>
            </w:r>
          </w:p>
        </w:tc>
        <w:tc>
          <w:tcPr>
            <w:vAlign w:val="center"/>
          </w:tcPr>
          <w:p w14:paraId="33BA8BF9">
            <w:r>
              <w:t>3338.79</w:t>
            </w:r>
          </w:p>
        </w:tc>
      </w:tr>
      <w:tr w14:paraId="64CDE4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195A92">
            <w:r>
              <w:t>停车场面积(㎡)</w:t>
            </w:r>
          </w:p>
        </w:tc>
        <w:tc>
          <w:tcPr>
            <w:vAlign w:val="center"/>
          </w:tcPr>
          <w:p w14:paraId="12FDE7C5">
            <w:r>
              <w:t>3527.06</w:t>
            </w:r>
          </w:p>
        </w:tc>
      </w:tr>
      <w:tr w14:paraId="590EBF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5C8D1F8">
            <w:r>
              <w:t>草地面积(㎡)</w:t>
            </w:r>
          </w:p>
        </w:tc>
        <w:tc>
          <w:tcPr>
            <w:vAlign w:val="center"/>
          </w:tcPr>
          <w:p w14:paraId="3CE0C701">
            <w:r>
              <w:t>18339.97</w:t>
            </w:r>
          </w:p>
        </w:tc>
      </w:tr>
      <w:tr w14:paraId="2C1537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D5D421B">
            <w:r>
              <w:t>水面面积(㎡)</w:t>
            </w:r>
          </w:p>
        </w:tc>
        <w:tc>
          <w:tcPr>
            <w:vAlign w:val="center"/>
          </w:tcPr>
          <w:p w14:paraId="1106B6A9">
            <w:r>
              <w:t>0.00</w:t>
            </w:r>
          </w:p>
        </w:tc>
      </w:tr>
      <w:tr w14:paraId="053668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3048A1">
            <w:r>
              <w:t>乔木面积(㎡)</w:t>
            </w:r>
          </w:p>
        </w:tc>
        <w:tc>
          <w:tcPr>
            <w:vAlign w:val="center"/>
          </w:tcPr>
          <w:p w14:paraId="28745A0D">
            <w:r>
              <w:t>1956.27</w:t>
            </w:r>
          </w:p>
        </w:tc>
      </w:tr>
      <w:tr w14:paraId="413B4A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7F7AB1D">
            <w:r>
              <w:t>亭廊面积(㎡)</w:t>
            </w:r>
          </w:p>
        </w:tc>
        <w:tc>
          <w:tcPr>
            <w:vAlign w:val="center"/>
          </w:tcPr>
          <w:p w14:paraId="7E791E9E">
            <w:r>
              <w:t>0.00</w:t>
            </w:r>
          </w:p>
        </w:tc>
      </w:tr>
      <w:tr w14:paraId="0B94B0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92BA584">
            <w:r>
              <w:t>爬藤棚架面积(㎡)</w:t>
            </w:r>
          </w:p>
        </w:tc>
        <w:tc>
          <w:tcPr>
            <w:vAlign w:val="center"/>
          </w:tcPr>
          <w:p w14:paraId="33904930">
            <w:r>
              <w:t>81.14</w:t>
            </w:r>
          </w:p>
        </w:tc>
      </w:tr>
      <w:tr w14:paraId="413946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448C281">
            <w:r>
              <w:t>屋顶绿化面积(㎡)</w:t>
            </w:r>
          </w:p>
        </w:tc>
        <w:tc>
          <w:tcPr>
            <w:vAlign w:val="center"/>
          </w:tcPr>
          <w:p w14:paraId="69AC45A8">
            <w:r>
              <w:t>6893.82</w:t>
            </w:r>
          </w:p>
        </w:tc>
      </w:tr>
      <w:tr w14:paraId="775C2B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3B56D6B">
            <w:r>
              <w:t>渗透性硬地面积(㎡)</w:t>
            </w:r>
          </w:p>
        </w:tc>
        <w:tc>
          <w:tcPr>
            <w:vAlign w:val="center"/>
          </w:tcPr>
          <w:p w14:paraId="5264F83D">
            <w:r>
              <w:t>0.00</w:t>
            </w:r>
          </w:p>
        </w:tc>
      </w:tr>
      <w:tr w14:paraId="1B3E39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E5380E7">
            <w:r>
              <w:t>绿化遮阳覆盖率(%)</w:t>
            </w:r>
          </w:p>
        </w:tc>
        <w:tc>
          <w:tcPr>
            <w:vAlign w:val="center"/>
          </w:tcPr>
          <w:p w14:paraId="59406E3D">
            <w:r>
              <w:t>0.53</w:t>
            </w:r>
          </w:p>
        </w:tc>
      </w:tr>
      <w:tr w14:paraId="062644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C8B9E7">
            <w:r>
              <w:t>构筑物遮阳覆盖率(%)</w:t>
            </w:r>
          </w:p>
        </w:tc>
        <w:tc>
          <w:tcPr>
            <w:vAlign w:val="center"/>
          </w:tcPr>
          <w:p w14:paraId="57CA639E">
            <w:r>
              <w:t>0.00</w:t>
            </w:r>
          </w:p>
        </w:tc>
      </w:tr>
    </w:tbl>
    <w:p w14:paraId="45D4EF3F">
      <w:pPr>
        <w:pStyle w:val="3"/>
        <w:ind w:firstLine="199" w:firstLineChars="95"/>
        <w:rPr>
          <w:lang w:val="en-US"/>
        </w:rPr>
      </w:pPr>
      <w:bookmarkStart w:id="30" w:name="住区指标概览"/>
      <w:bookmarkEnd w:id="30"/>
    </w:p>
    <w:p w14:paraId="14EB15C9">
      <w:pPr>
        <w:pStyle w:val="2"/>
      </w:pPr>
      <w:bookmarkStart w:id="31" w:name="_Toc25260"/>
      <w:r>
        <w:rPr>
          <w:rFonts w:hint="eastAsia"/>
        </w:rPr>
        <w:t>规定性设计指标</w:t>
      </w:r>
      <w:bookmarkEnd w:id="31"/>
    </w:p>
    <w:p w14:paraId="19AF87F4">
      <w:pPr>
        <w:pStyle w:val="4"/>
      </w:pPr>
      <w:bookmarkStart w:id="32" w:name="_Toc32193"/>
      <w:r>
        <w:rPr>
          <w:rFonts w:hint="eastAsia"/>
        </w:rPr>
        <w:t>底层通风架空率</w:t>
      </w:r>
      <w:bookmarkEnd w:id="32"/>
    </w:p>
    <w:tbl>
      <w:tblPr>
        <w:tblStyle w:val="20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 w14:paraId="0F2161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2A50598">
            <w:pPr>
              <w:jc w:val="center"/>
            </w:pPr>
            <w:r>
              <w:t>建筑名称</w:t>
            </w:r>
          </w:p>
        </w:tc>
        <w:tc>
          <w:tcPr>
            <w:shd w:val="clear" w:color="auto" w:fill="E6E6E6"/>
            <w:vAlign w:val="center"/>
          </w:tcPr>
          <w:p w14:paraId="1442EFA5">
            <w:pPr>
              <w:jc w:val="center"/>
            </w:pPr>
            <w:r>
              <w:t>底层架空面积(㎡)</w:t>
            </w:r>
          </w:p>
        </w:tc>
        <w:tc>
          <w:tcPr>
            <w:shd w:val="clear" w:color="auto" w:fill="E6E6E6"/>
            <w:vAlign w:val="center"/>
          </w:tcPr>
          <w:p w14:paraId="6E6D1131">
            <w:pPr>
              <w:jc w:val="center"/>
            </w:pPr>
            <w:r>
              <w:t>基底面积(㎡)</w:t>
            </w:r>
          </w:p>
        </w:tc>
        <w:tc>
          <w:tcPr>
            <w:shd w:val="clear" w:color="auto" w:fill="E6E6E6"/>
            <w:vAlign w:val="center"/>
          </w:tcPr>
          <w:p w14:paraId="37A44548">
            <w:pPr>
              <w:jc w:val="center"/>
            </w:pPr>
            <w:r>
              <w:t>迎风面宽度(m)</w:t>
            </w:r>
          </w:p>
        </w:tc>
        <w:tc>
          <w:tcPr>
            <w:shd w:val="clear" w:color="auto" w:fill="E6E6E6"/>
            <w:vAlign w:val="center"/>
          </w:tcPr>
          <w:p w14:paraId="450AFC85">
            <w:pPr>
              <w:jc w:val="center"/>
            </w:pPr>
            <w:r>
              <w:t>底层通风架空率(%)</w:t>
            </w:r>
          </w:p>
        </w:tc>
      </w:tr>
      <w:tr w14:paraId="1635CF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24F1B6C">
            <w:r>
              <w:t>住宅区</w:t>
            </w:r>
          </w:p>
        </w:tc>
        <w:tc>
          <w:tcPr>
            <w:vAlign w:val="center"/>
          </w:tcPr>
          <w:p w14:paraId="5028E552">
            <w:r>
              <w:t>0.0</w:t>
            </w:r>
          </w:p>
        </w:tc>
        <w:tc>
          <w:tcPr>
            <w:vAlign w:val="center"/>
          </w:tcPr>
          <w:p w14:paraId="7F012524">
            <w:r>
              <w:t>2394.5</w:t>
            </w:r>
          </w:p>
        </w:tc>
        <w:tc>
          <w:tcPr>
            <w:vAlign w:val="center"/>
          </w:tcPr>
          <w:p w14:paraId="52DC2290">
            <w:r>
              <w:t>0.0</w:t>
            </w:r>
          </w:p>
        </w:tc>
        <w:tc>
          <w:tcPr>
            <w:vAlign w:val="center"/>
          </w:tcPr>
          <w:p w14:paraId="6FC9754B">
            <w:r>
              <w:t>0</w:t>
            </w:r>
          </w:p>
        </w:tc>
      </w:tr>
      <w:tr w14:paraId="417FCF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051090">
            <w:r>
              <w:t>商场</w:t>
            </w:r>
          </w:p>
        </w:tc>
        <w:tc>
          <w:tcPr>
            <w:vAlign w:val="center"/>
          </w:tcPr>
          <w:p w14:paraId="3ADEE30A">
            <w:r>
              <w:t>0.0</w:t>
            </w:r>
          </w:p>
        </w:tc>
        <w:tc>
          <w:tcPr>
            <w:vAlign w:val="center"/>
          </w:tcPr>
          <w:p w14:paraId="013CB504">
            <w:r>
              <w:t>4499.4</w:t>
            </w:r>
          </w:p>
        </w:tc>
        <w:tc>
          <w:tcPr>
            <w:vAlign w:val="center"/>
          </w:tcPr>
          <w:p w14:paraId="788DDCEE">
            <w:r>
              <w:t>0.0</w:t>
            </w:r>
          </w:p>
        </w:tc>
        <w:tc>
          <w:tcPr>
            <w:vAlign w:val="center"/>
          </w:tcPr>
          <w:p w14:paraId="3B9EB535">
            <w:r>
              <w:t>0</w:t>
            </w:r>
          </w:p>
        </w:tc>
      </w:tr>
      <w:tr w14:paraId="44527A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38F628A">
            <w:r>
              <w:t>绿建\斯维尔模型\斯维尔模型 REVIT导</w:t>
            </w:r>
          </w:p>
        </w:tc>
        <w:tc>
          <w:tcPr>
            <w:vAlign w:val="center"/>
          </w:tcPr>
          <w:p w14:paraId="442D204E">
            <w:r>
              <w:t>44.3</w:t>
            </w:r>
          </w:p>
        </w:tc>
        <w:tc>
          <w:tcPr>
            <w:vAlign w:val="center"/>
          </w:tcPr>
          <w:p w14:paraId="7147BD57">
            <w:r>
              <w:t>2471.8</w:t>
            </w:r>
          </w:p>
        </w:tc>
        <w:tc>
          <w:tcPr>
            <w:vAlign w:val="center"/>
          </w:tcPr>
          <w:p w14:paraId="73F68ED1">
            <w:r>
              <w:t>62.3</w:t>
            </w:r>
          </w:p>
        </w:tc>
        <w:tc>
          <w:tcPr>
            <w:vAlign w:val="center"/>
          </w:tcPr>
          <w:p w14:paraId="21EBB263">
            <w:r>
              <w:t>2</w:t>
            </w:r>
          </w:p>
        </w:tc>
      </w:tr>
      <w:tr w14:paraId="53463E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D963A97">
            <w:r>
              <w:t>依据</w:t>
            </w:r>
          </w:p>
        </w:tc>
        <w:tc>
          <w:tcPr>
            <w:gridSpan w:val="4"/>
            <w:vAlign w:val="center"/>
          </w:tcPr>
          <w:p w14:paraId="5ADAE321">
            <w:r>
              <w:t>《城市居住区热环境设计标准》4.1.4条</w:t>
            </w:r>
          </w:p>
        </w:tc>
      </w:tr>
      <w:tr w14:paraId="750F16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C02285">
            <w:r>
              <w:t>标准要求</w:t>
            </w:r>
          </w:p>
        </w:tc>
        <w:tc>
          <w:tcPr>
            <w:gridSpan w:val="4"/>
            <w:vAlign w:val="center"/>
          </w:tcPr>
          <w:p w14:paraId="08166BFB">
            <w:r>
              <w:t>III、IV、V气候区，夏季主导风向迎风面积宽度超过80m时，底层通风架空率不应小于10%</w:t>
            </w:r>
          </w:p>
        </w:tc>
      </w:tr>
      <w:tr w14:paraId="3C474D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B20DBF7">
            <w:r>
              <w:t>结论</w:t>
            </w:r>
          </w:p>
        </w:tc>
        <w:tc>
          <w:tcPr>
            <w:gridSpan w:val="4"/>
            <w:vAlign w:val="center"/>
          </w:tcPr>
          <w:p w14:paraId="6CE633F0">
            <w:r>
              <w:t>满足</w:t>
            </w:r>
          </w:p>
        </w:tc>
      </w:tr>
    </w:tbl>
    <w:p w14:paraId="7DFF5D80">
      <w:pPr>
        <w:pStyle w:val="3"/>
        <w:ind w:firstLine="420"/>
        <w:rPr>
          <w:lang w:val="en-US"/>
        </w:rPr>
      </w:pPr>
      <w:bookmarkStart w:id="33" w:name="底层通风架空率"/>
      <w:bookmarkEnd w:id="33"/>
    </w:p>
    <w:p w14:paraId="48B2EABD">
      <w:pPr>
        <w:pStyle w:val="4"/>
      </w:pPr>
      <w:bookmarkStart w:id="34" w:name="_Toc28136"/>
      <w:r>
        <w:rPr>
          <w:rFonts w:hint="eastAsia"/>
        </w:rPr>
        <w:t>绿化遮阳体叶面积指数</w:t>
      </w:r>
      <w:bookmarkEnd w:id="34"/>
    </w:p>
    <w:tbl>
      <w:tblPr>
        <w:tblStyle w:val="20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2"/>
        <w:gridCol w:w="3110"/>
        <w:gridCol w:w="3110"/>
      </w:tblGrid>
      <w:tr w14:paraId="4C8CB1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9FCA25">
            <w:pPr>
              <w:jc w:val="center"/>
            </w:pPr>
            <w:r>
              <w:t>遮阳体类型</w:t>
            </w:r>
          </w:p>
        </w:tc>
        <w:tc>
          <w:tcPr>
            <w:shd w:val="clear" w:color="auto" w:fill="E6E6E6"/>
            <w:vAlign w:val="center"/>
          </w:tcPr>
          <w:p w14:paraId="2088A5E9">
            <w:pPr>
              <w:jc w:val="center"/>
            </w:pPr>
            <w:r>
              <w:t>叶面积指数</w:t>
            </w:r>
          </w:p>
        </w:tc>
        <w:tc>
          <w:tcPr>
            <w:shd w:val="clear" w:color="auto" w:fill="E6E6E6"/>
            <w:vAlign w:val="center"/>
          </w:tcPr>
          <w:p w14:paraId="72981BD3">
            <w:pPr>
              <w:jc w:val="center"/>
            </w:pPr>
            <w:r>
              <w:t>面积(㎡)</w:t>
            </w:r>
          </w:p>
        </w:tc>
      </w:tr>
      <w:tr w14:paraId="77BE1D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6ED5253">
            <w:r>
              <w:t>乔木</w:t>
            </w:r>
          </w:p>
        </w:tc>
        <w:tc>
          <w:tcPr>
            <w:vAlign w:val="center"/>
          </w:tcPr>
          <w:p w14:paraId="185EC698">
            <w:r>
              <w:t>LAI &gt;= 3</w:t>
            </w:r>
          </w:p>
        </w:tc>
        <w:tc>
          <w:tcPr>
            <w:vAlign w:val="center"/>
          </w:tcPr>
          <w:p w14:paraId="0B4517F2">
            <w:r>
              <w:t>1956</w:t>
            </w:r>
          </w:p>
        </w:tc>
      </w:tr>
      <w:tr w14:paraId="2B3E04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4C7D38E9"/>
        </w:tc>
        <w:tc>
          <w:tcPr>
            <w:vAlign w:val="center"/>
          </w:tcPr>
          <w:p w14:paraId="3BF077CA">
            <w:r>
              <w:t>LAI &lt; 3</w:t>
            </w:r>
          </w:p>
        </w:tc>
        <w:tc>
          <w:tcPr>
            <w:vAlign w:val="center"/>
          </w:tcPr>
          <w:p w14:paraId="79D18DD8">
            <w:r>
              <w:t>0</w:t>
            </w:r>
          </w:p>
        </w:tc>
      </w:tr>
      <w:tr w14:paraId="3F70F6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5D01188">
            <w:r>
              <w:t>爬藤棚架</w:t>
            </w:r>
          </w:p>
        </w:tc>
        <w:tc>
          <w:tcPr>
            <w:vAlign w:val="center"/>
          </w:tcPr>
          <w:p w14:paraId="62E8678A">
            <w:r>
              <w:t>LAI &gt;= 3</w:t>
            </w:r>
          </w:p>
        </w:tc>
        <w:tc>
          <w:tcPr>
            <w:vAlign w:val="center"/>
          </w:tcPr>
          <w:p w14:paraId="667CB36F">
            <w:r>
              <w:t>81</w:t>
            </w:r>
          </w:p>
        </w:tc>
      </w:tr>
      <w:tr w14:paraId="039CF1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56680C9A"/>
        </w:tc>
        <w:tc>
          <w:tcPr>
            <w:vAlign w:val="center"/>
          </w:tcPr>
          <w:p w14:paraId="2457A15F">
            <w:r>
              <w:t>LAI &lt; 3</w:t>
            </w:r>
          </w:p>
        </w:tc>
        <w:tc>
          <w:tcPr>
            <w:vAlign w:val="center"/>
          </w:tcPr>
          <w:p w14:paraId="3CFB72F6">
            <w:r>
              <w:t>0</w:t>
            </w:r>
          </w:p>
        </w:tc>
      </w:tr>
      <w:tr w14:paraId="1FDC40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346AE2">
            <w:r>
              <w:t>依据</w:t>
            </w:r>
          </w:p>
        </w:tc>
        <w:tc>
          <w:tcPr>
            <w:gridSpan w:val="2"/>
            <w:vAlign w:val="center"/>
          </w:tcPr>
          <w:p w14:paraId="0F2FE388">
            <w:r>
              <w:t>《城市居住区热环境设计标准》4.2.3条</w:t>
            </w:r>
          </w:p>
        </w:tc>
      </w:tr>
      <w:tr w14:paraId="702DCE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1AE210">
            <w:r>
              <w:t>标准要求</w:t>
            </w:r>
          </w:p>
        </w:tc>
        <w:tc>
          <w:tcPr>
            <w:gridSpan w:val="2"/>
            <w:vAlign w:val="center"/>
          </w:tcPr>
          <w:p w14:paraId="3E257937">
            <w:r>
              <w:t>绿化遮阳体叶面积指数不应小于3.0</w:t>
            </w:r>
          </w:p>
        </w:tc>
      </w:tr>
      <w:tr w14:paraId="110AF3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D479406">
            <w:r>
              <w:t>结论</w:t>
            </w:r>
          </w:p>
        </w:tc>
        <w:tc>
          <w:tcPr>
            <w:gridSpan w:val="2"/>
            <w:vAlign w:val="center"/>
          </w:tcPr>
          <w:p w14:paraId="165230CE">
            <w:r>
              <w:t>满足</w:t>
            </w:r>
          </w:p>
        </w:tc>
      </w:tr>
    </w:tbl>
    <w:p w14:paraId="12E43C97">
      <w:pPr>
        <w:pStyle w:val="3"/>
        <w:ind w:firstLine="420"/>
        <w:rPr>
          <w:lang w:val="en-US"/>
        </w:rPr>
      </w:pPr>
      <w:bookmarkStart w:id="35" w:name="绿化遮阳体叶面积指数"/>
      <w:bookmarkEnd w:id="35"/>
    </w:p>
    <w:p w14:paraId="58F51DDB">
      <w:pPr>
        <w:pStyle w:val="4"/>
      </w:pPr>
      <w:bookmarkStart w:id="36" w:name="_Toc7599"/>
      <w:r>
        <w:rPr>
          <w:rFonts w:hint="eastAsia"/>
        </w:rPr>
        <w:t>渗透蒸发指标</w:t>
      </w:r>
      <w:bookmarkEnd w:id="36"/>
    </w:p>
    <w:tbl>
      <w:tblPr>
        <w:tblStyle w:val="20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 w14:paraId="1B9534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A11B976">
            <w:pPr>
              <w:jc w:val="center"/>
            </w:pPr>
            <w:r>
              <w:t>地面</w:t>
            </w:r>
          </w:p>
        </w:tc>
        <w:tc>
          <w:tcPr>
            <w:shd w:val="clear" w:color="auto" w:fill="E6E6E6"/>
            <w:vAlign w:val="center"/>
          </w:tcPr>
          <w:p w14:paraId="46984D03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275D40C4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39602896">
            <w:pPr>
              <w:jc w:val="center"/>
            </w:pPr>
            <w:r>
              <w:t>地面透水系数k(mm/s)</w:t>
            </w:r>
          </w:p>
        </w:tc>
        <w:tc>
          <w:tcPr>
            <w:shd w:val="clear" w:color="auto" w:fill="E6E6E6"/>
            <w:vAlign w:val="center"/>
          </w:tcPr>
          <w:p w14:paraId="1AF312E5">
            <w:pPr>
              <w:jc w:val="center"/>
            </w:pPr>
            <w:r>
              <w:t>蒸发量m</w:t>
            </w:r>
            <w:r>
              <w:br w:type="textWrapping"/>
            </w:r>
            <w:r>
              <w:t>(kg/(㎡·d))</w:t>
            </w:r>
          </w:p>
        </w:tc>
      </w:tr>
      <w:tr w14:paraId="72C935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F2EA194">
            <w:r>
              <w:t>广场</w:t>
            </w:r>
          </w:p>
        </w:tc>
        <w:tc>
          <w:tcPr>
            <w:vAlign w:val="center"/>
          </w:tcPr>
          <w:p w14:paraId="2F9D999A">
            <w:r>
              <w:t>2548</w:t>
            </w:r>
          </w:p>
        </w:tc>
        <w:tc>
          <w:tcPr>
            <w:vAlign w:val="center"/>
          </w:tcPr>
          <w:p w14:paraId="6BC0D727">
            <w:r>
              <w:t>0.212</w:t>
            </w:r>
          </w:p>
        </w:tc>
        <w:tc>
          <w:tcPr>
            <w:vAlign w:val="center"/>
          </w:tcPr>
          <w:p w14:paraId="07EE737E">
            <w:r>
              <w:t>0.00</w:t>
            </w:r>
          </w:p>
        </w:tc>
        <w:tc>
          <w:tcPr>
            <w:vAlign w:val="center"/>
          </w:tcPr>
          <w:p w14:paraId="3AAD1EE5">
            <w:r>
              <w:t>0.00</w:t>
            </w:r>
          </w:p>
        </w:tc>
      </w:tr>
      <w:tr w14:paraId="725DD9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4757A9">
            <w:r>
              <w:t>游憩场</w:t>
            </w:r>
          </w:p>
        </w:tc>
        <w:tc>
          <w:tcPr>
            <w:vAlign w:val="center"/>
          </w:tcPr>
          <w:p w14:paraId="3F4475B3">
            <w:r>
              <w:t>2604</w:t>
            </w:r>
          </w:p>
        </w:tc>
        <w:tc>
          <w:tcPr>
            <w:vAlign w:val="center"/>
          </w:tcPr>
          <w:p w14:paraId="29755A56">
            <w:r>
              <w:t>0.217</w:t>
            </w:r>
          </w:p>
        </w:tc>
        <w:tc>
          <w:tcPr>
            <w:vAlign w:val="center"/>
          </w:tcPr>
          <w:p w14:paraId="4426A369">
            <w:r>
              <w:t>0.00</w:t>
            </w:r>
          </w:p>
        </w:tc>
        <w:tc>
          <w:tcPr>
            <w:vAlign w:val="center"/>
          </w:tcPr>
          <w:p w14:paraId="0145279F">
            <w:r>
              <w:t>0.00</w:t>
            </w:r>
          </w:p>
        </w:tc>
      </w:tr>
      <w:tr w14:paraId="0556ED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EB15F1F">
            <w:r>
              <w:t>人行道</w:t>
            </w:r>
          </w:p>
        </w:tc>
        <w:tc>
          <w:tcPr>
            <w:vAlign w:val="center"/>
          </w:tcPr>
          <w:p w14:paraId="514EBDB4">
            <w:r>
              <w:t>3339</w:t>
            </w:r>
          </w:p>
        </w:tc>
        <w:tc>
          <w:tcPr>
            <w:vAlign w:val="center"/>
          </w:tcPr>
          <w:p w14:paraId="648395D9">
            <w:r>
              <w:t>0.278</w:t>
            </w:r>
          </w:p>
        </w:tc>
        <w:tc>
          <w:tcPr>
            <w:vAlign w:val="center"/>
          </w:tcPr>
          <w:p w14:paraId="07CA78B6">
            <w:r>
              <w:t>0.00</w:t>
            </w:r>
          </w:p>
        </w:tc>
        <w:tc>
          <w:tcPr>
            <w:vAlign w:val="center"/>
          </w:tcPr>
          <w:p w14:paraId="6323885F">
            <w:r>
              <w:t>0.00</w:t>
            </w:r>
          </w:p>
        </w:tc>
      </w:tr>
      <w:tr w14:paraId="308023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D56F7A">
            <w:r>
              <w:t>停车场</w:t>
            </w:r>
          </w:p>
        </w:tc>
        <w:tc>
          <w:tcPr>
            <w:vAlign w:val="center"/>
          </w:tcPr>
          <w:p w14:paraId="3C8F7CC1">
            <w:r>
              <w:t>3527</w:t>
            </w:r>
          </w:p>
        </w:tc>
        <w:tc>
          <w:tcPr>
            <w:vAlign w:val="center"/>
          </w:tcPr>
          <w:p w14:paraId="5BB0E35C">
            <w:r>
              <w:t>0.293</w:t>
            </w:r>
          </w:p>
        </w:tc>
        <w:tc>
          <w:tcPr>
            <w:vAlign w:val="center"/>
          </w:tcPr>
          <w:p w14:paraId="55115CB0">
            <w:r>
              <w:t>0.00</w:t>
            </w:r>
          </w:p>
        </w:tc>
        <w:tc>
          <w:tcPr>
            <w:vAlign w:val="center"/>
          </w:tcPr>
          <w:p w14:paraId="710F6CDC">
            <w:r>
              <w:t>0.00</w:t>
            </w:r>
          </w:p>
        </w:tc>
      </w:tr>
      <w:tr w14:paraId="630E8A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B742F5B">
            <w:r>
              <w:t>合计</w:t>
            </w:r>
          </w:p>
        </w:tc>
        <w:tc>
          <w:tcPr>
            <w:vAlign w:val="center"/>
          </w:tcPr>
          <w:p w14:paraId="79D17B9B">
            <w:r>
              <w:t>12017</w:t>
            </w:r>
          </w:p>
        </w:tc>
        <w:tc>
          <w:tcPr>
            <w:vAlign w:val="center"/>
          </w:tcPr>
          <w:p w14:paraId="5880B0AB">
            <w:r>
              <w:t>1.0</w:t>
            </w:r>
          </w:p>
        </w:tc>
        <w:tc>
          <w:tcPr>
            <w:vAlign w:val="center"/>
          </w:tcPr>
          <w:p w14:paraId="35006CC0">
            <w:r>
              <w:t>0.00</w:t>
            </w:r>
          </w:p>
        </w:tc>
        <w:tc>
          <w:tcPr>
            <w:vAlign w:val="center"/>
          </w:tcPr>
          <w:p w14:paraId="55069795">
            <w:r>
              <w:t>0.00</w:t>
            </w:r>
          </w:p>
        </w:tc>
      </w:tr>
    </w:tbl>
    <w:p w14:paraId="4E8752D1">
      <w:pPr>
        <w:pStyle w:val="3"/>
        <w:ind w:firstLine="420"/>
        <w:rPr>
          <w:lang w:val="en-US"/>
        </w:rPr>
      </w:pPr>
      <w:bookmarkStart w:id="37" w:name="渗透蒸发指标"/>
      <w:bookmarkEnd w:id="37"/>
    </w:p>
    <w:tbl>
      <w:tblPr>
        <w:tblStyle w:val="20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2"/>
        <w:gridCol w:w="3110"/>
        <w:gridCol w:w="3110"/>
        <w:gridCol w:w="1"/>
      </w:tblGrid>
      <w:tr w14:paraId="111DE8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37991B45">
            <w:pPr>
              <w:jc w:val="center"/>
            </w:pPr>
            <w:r>
              <w:t>地面</w:t>
            </w:r>
          </w:p>
        </w:tc>
        <w:tc>
          <w:tcPr>
            <w:shd w:val="clear" w:color="auto" w:fill="E6E6E6"/>
            <w:vAlign w:val="center"/>
          </w:tcPr>
          <w:p w14:paraId="5B0B5D7E">
            <w:pPr>
              <w:jc w:val="center"/>
            </w:pPr>
            <w:r>
              <w:t>渗透面积比率(%)</w:t>
            </w:r>
          </w:p>
        </w:tc>
        <w:tc>
          <w:tcPr>
            <w:shd w:val="clear" w:color="auto" w:fill="E6E6E6"/>
            <w:vAlign w:val="center"/>
          </w:tcPr>
          <w:p w14:paraId="06093F29">
            <w:pPr>
              <w:jc w:val="center"/>
            </w:pPr>
            <w:r>
              <w:t>限值(%)</w:t>
            </w:r>
          </w:p>
        </w:tc>
      </w:tr>
      <w:tr w14:paraId="322C49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457B8B2A">
            <w:r>
              <w:t>广场</w:t>
            </w:r>
          </w:p>
        </w:tc>
        <w:tc>
          <w:tcPr>
            <w:vAlign w:val="center"/>
          </w:tcPr>
          <w:p w14:paraId="4E79F1E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vAlign w:val="center"/>
          </w:tcPr>
          <w:p w14:paraId="3E18C867">
            <w:r>
              <w:t>50</w:t>
            </w:r>
          </w:p>
        </w:tc>
      </w:tr>
      <w:tr w14:paraId="3C6A1C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50D54F54">
            <w:r>
              <w:t>游憩场</w:t>
            </w:r>
          </w:p>
        </w:tc>
        <w:tc>
          <w:tcPr>
            <w:vAlign w:val="center"/>
          </w:tcPr>
          <w:p w14:paraId="17C38AB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vAlign w:val="center"/>
          </w:tcPr>
          <w:p w14:paraId="64400017">
            <w:r>
              <w:t>60</w:t>
            </w:r>
          </w:p>
        </w:tc>
      </w:tr>
      <w:tr w14:paraId="42459B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13F6054D">
            <w:r>
              <w:t>人行道</w:t>
            </w:r>
          </w:p>
        </w:tc>
        <w:tc>
          <w:tcPr>
            <w:vAlign w:val="center"/>
          </w:tcPr>
          <w:p w14:paraId="569BEA9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68</w:t>
            </w:r>
          </w:p>
        </w:tc>
        <w:tc>
          <w:tcPr>
            <w:vAlign w:val="center"/>
          </w:tcPr>
          <w:p w14:paraId="3F057C7E">
            <w:r>
              <w:t>60</w:t>
            </w:r>
          </w:p>
        </w:tc>
      </w:tr>
      <w:tr w14:paraId="698860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2A520569">
            <w:r>
              <w:t>停车场</w:t>
            </w:r>
          </w:p>
        </w:tc>
        <w:tc>
          <w:tcPr>
            <w:vAlign w:val="center"/>
          </w:tcPr>
          <w:p w14:paraId="45F0B2F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vAlign w:val="center"/>
          </w:tcPr>
          <w:p w14:paraId="4784D7CC">
            <w:r>
              <w:t>70</w:t>
            </w:r>
          </w:p>
        </w:tc>
      </w:tr>
      <w:tr w14:paraId="4C4249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shd w:val="clear" w:color="auto" w:fill="E6E6E6"/>
            <w:vAlign w:val="center"/>
          </w:tcPr>
          <w:p w14:paraId="67D82EE6">
            <w:pPr>
              <w:jc w:val="center"/>
            </w:pPr>
            <w:r>
              <w:t>渗透与蒸发指标</w:t>
            </w:r>
          </w:p>
        </w:tc>
      </w:tr>
      <w:tr w14:paraId="7D46AF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1FEC76AF">
            <w:pPr>
              <w:jc w:val="center"/>
            </w:pPr>
            <w:r>
              <w:t>指标</w:t>
            </w:r>
          </w:p>
        </w:tc>
        <w:tc>
          <w:tcPr>
            <w:shd w:val="clear" w:color="auto" w:fill="E6E6E6"/>
            <w:vAlign w:val="center"/>
          </w:tcPr>
          <w:p w14:paraId="3794AAE6">
            <w:pPr>
              <w:jc w:val="center"/>
            </w:pPr>
            <w:r>
              <w:t>值</w:t>
            </w:r>
          </w:p>
        </w:tc>
        <w:tc>
          <w:tcPr>
            <w:shd w:val="clear" w:color="auto" w:fill="E6E6E6"/>
            <w:vAlign w:val="center"/>
          </w:tcPr>
          <w:p w14:paraId="178C2AFF">
            <w:pPr>
              <w:jc w:val="center"/>
            </w:pPr>
            <w:r>
              <w:t>限值</w:t>
            </w:r>
          </w:p>
        </w:tc>
      </w:tr>
      <w:tr w14:paraId="01435F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154FFF9A">
            <w:r>
              <w:t>地面透水系数k(mm/s)</w:t>
            </w:r>
          </w:p>
        </w:tc>
        <w:tc>
          <w:tcPr>
            <w:vAlign w:val="center"/>
          </w:tcPr>
          <w:p w14:paraId="3762C3F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vAlign w:val="center"/>
          </w:tcPr>
          <w:p w14:paraId="7B56AE54">
            <w:r>
              <w:t>3</w:t>
            </w:r>
          </w:p>
        </w:tc>
      </w:tr>
      <w:tr w14:paraId="265F9D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364C13B5">
            <w:r>
              <w:t>蒸发量m(kg/(㎡·d))</w:t>
            </w:r>
          </w:p>
        </w:tc>
        <w:tc>
          <w:tcPr>
            <w:vAlign w:val="center"/>
          </w:tcPr>
          <w:p w14:paraId="48CBF264">
            <w:pPr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vAlign w:val="center"/>
          </w:tcPr>
          <w:p w14:paraId="1106B386">
            <w:r>
              <w:t>1.3</w:t>
            </w:r>
          </w:p>
        </w:tc>
      </w:tr>
      <w:tr w14:paraId="326A31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6CC42DC1">
            <w:r>
              <w:t>依据</w:t>
            </w:r>
          </w:p>
        </w:tc>
        <w:tc>
          <w:tcPr>
            <w:gridSpan w:val="2"/>
            <w:vAlign w:val="center"/>
          </w:tcPr>
          <w:p w14:paraId="1DC86B1B">
            <w:r>
              <w:t>《城市居住区热环境设计标准》4.3.1条</w:t>
            </w:r>
          </w:p>
        </w:tc>
      </w:tr>
      <w:tr w14:paraId="62C7F2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6354DEB2">
            <w:r>
              <w:t>标准要求</w:t>
            </w:r>
          </w:p>
        </w:tc>
        <w:tc>
          <w:tcPr>
            <w:gridSpan w:val="2"/>
            <w:vAlign w:val="center"/>
          </w:tcPr>
          <w:p w14:paraId="362CE550">
            <w:r>
              <w:t>渗透面积比率、透水系数及蒸发量不应低于标准规定限值</w:t>
            </w:r>
          </w:p>
        </w:tc>
      </w:tr>
      <w:tr w14:paraId="365157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499814B7">
            <w:r>
              <w:t>结论</w:t>
            </w:r>
          </w:p>
        </w:tc>
        <w:tc>
          <w:tcPr>
            <w:gridSpan w:val="2"/>
            <w:vAlign w:val="center"/>
          </w:tcPr>
          <w:p w14:paraId="2B634E12"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满足</w:t>
            </w:r>
          </w:p>
        </w:tc>
      </w:tr>
    </w:tbl>
    <w:p w14:paraId="38810A39">
      <w:pPr>
        <w:pStyle w:val="3"/>
        <w:ind w:firstLine="420"/>
        <w:rPr>
          <w:lang w:val="en-US"/>
        </w:rPr>
      </w:pPr>
    </w:p>
    <w:p w14:paraId="4971EE92">
      <w:pPr>
        <w:pStyle w:val="4"/>
      </w:pPr>
      <w:bookmarkStart w:id="38" w:name="_Toc83"/>
      <w:r>
        <w:rPr>
          <w:rFonts w:hint="eastAsia"/>
        </w:rPr>
        <w:t>屋面绿化率</w:t>
      </w:r>
      <w:bookmarkEnd w:id="38"/>
    </w:p>
    <w:tbl>
      <w:tblPr>
        <w:tblStyle w:val="20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 w14:paraId="690BFB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A8AB4FB">
            <w:pPr>
              <w:jc w:val="center"/>
            </w:pPr>
            <w:r>
              <w:t>建筑名称</w:t>
            </w:r>
          </w:p>
        </w:tc>
        <w:tc>
          <w:tcPr>
            <w:shd w:val="clear" w:color="auto" w:fill="E6E6E6"/>
            <w:vAlign w:val="center"/>
          </w:tcPr>
          <w:p w14:paraId="13F56C1D">
            <w:pPr>
              <w:jc w:val="center"/>
            </w:pPr>
            <w:r>
              <w:t>屋面轮廓面积(㎡)</w:t>
            </w:r>
          </w:p>
        </w:tc>
        <w:tc>
          <w:tcPr>
            <w:shd w:val="clear" w:color="auto" w:fill="E6E6E6"/>
            <w:vAlign w:val="center"/>
          </w:tcPr>
          <w:p w14:paraId="210F252E">
            <w:pPr>
              <w:jc w:val="center"/>
            </w:pPr>
            <w:r>
              <w:t>屋顶绿化面积(㎡)</w:t>
            </w:r>
          </w:p>
        </w:tc>
        <w:tc>
          <w:tcPr>
            <w:shd w:val="clear" w:color="auto" w:fill="E6E6E6"/>
            <w:vAlign w:val="center"/>
          </w:tcPr>
          <w:p w14:paraId="31E0803F">
            <w:pPr>
              <w:jc w:val="center"/>
            </w:pPr>
            <w:r>
              <w:t>可绿化屋面</w:t>
            </w:r>
            <w:r>
              <w:br w:type="textWrapping"/>
            </w: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62522240">
            <w:pPr>
              <w:jc w:val="center"/>
            </w:pPr>
            <w:r>
              <w:t>屋面绿化率(%)</w:t>
            </w:r>
          </w:p>
        </w:tc>
      </w:tr>
      <w:tr w14:paraId="35FD57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457833F">
            <w:r>
              <w:t>住宅区</w:t>
            </w:r>
          </w:p>
        </w:tc>
        <w:tc>
          <w:tcPr>
            <w:vAlign w:val="center"/>
          </w:tcPr>
          <w:p w14:paraId="1E596278">
            <w:r>
              <w:t>2394.5</w:t>
            </w:r>
          </w:p>
        </w:tc>
        <w:tc>
          <w:tcPr>
            <w:vAlign w:val="center"/>
          </w:tcPr>
          <w:p w14:paraId="4636F31B">
            <w:r>
              <w:t>2394.5</w:t>
            </w:r>
          </w:p>
        </w:tc>
        <w:tc>
          <w:tcPr>
            <w:vAlign w:val="center"/>
          </w:tcPr>
          <w:p w14:paraId="7513AC74">
            <w:r>
              <w:t>2394.5</w:t>
            </w:r>
          </w:p>
        </w:tc>
        <w:tc>
          <w:tcPr>
            <w:vAlign w:val="center"/>
          </w:tcPr>
          <w:p w14:paraId="39B9FD58">
            <w:r>
              <w:t>100</w:t>
            </w:r>
          </w:p>
        </w:tc>
      </w:tr>
      <w:tr w14:paraId="37380C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9468FB">
            <w:r>
              <w:t>商场</w:t>
            </w:r>
          </w:p>
        </w:tc>
        <w:tc>
          <w:tcPr>
            <w:vAlign w:val="center"/>
          </w:tcPr>
          <w:p w14:paraId="179CA491">
            <w:r>
              <w:t>4499.4</w:t>
            </w:r>
          </w:p>
        </w:tc>
        <w:tc>
          <w:tcPr>
            <w:vAlign w:val="center"/>
          </w:tcPr>
          <w:p w14:paraId="789787D7">
            <w:r>
              <w:t>4499.4</w:t>
            </w:r>
          </w:p>
        </w:tc>
        <w:tc>
          <w:tcPr>
            <w:vAlign w:val="center"/>
          </w:tcPr>
          <w:p w14:paraId="6FBE90DE">
            <w:r>
              <w:t>4499.4</w:t>
            </w:r>
          </w:p>
        </w:tc>
        <w:tc>
          <w:tcPr>
            <w:vAlign w:val="center"/>
          </w:tcPr>
          <w:p w14:paraId="3024BB5E">
            <w:r>
              <w:t>100</w:t>
            </w:r>
          </w:p>
        </w:tc>
      </w:tr>
      <w:tr w14:paraId="08137D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7576B04">
            <w:r>
              <w:t>绿建\斯维尔模型\斯维尔模型 REVIT导</w:t>
            </w:r>
          </w:p>
        </w:tc>
        <w:tc>
          <w:tcPr>
            <w:vAlign w:val="center"/>
          </w:tcPr>
          <w:p w14:paraId="49BA5592">
            <w:r>
              <w:t>2471.8</w:t>
            </w:r>
          </w:p>
        </w:tc>
        <w:tc>
          <w:tcPr>
            <w:vAlign w:val="center"/>
          </w:tcPr>
          <w:p w14:paraId="240B67E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1928</w:t>
            </w:r>
          </w:p>
        </w:tc>
        <w:tc>
          <w:tcPr>
            <w:vAlign w:val="center"/>
          </w:tcPr>
          <w:p w14:paraId="06CBB3C7">
            <w:r>
              <w:t>2471.8</w:t>
            </w:r>
          </w:p>
        </w:tc>
        <w:tc>
          <w:tcPr>
            <w:vAlign w:val="center"/>
          </w:tcPr>
          <w:p w14:paraId="05785F8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78</w:t>
            </w:r>
          </w:p>
        </w:tc>
      </w:tr>
      <w:tr w14:paraId="211ED8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F099D8">
            <w:r>
              <w:t>合计</w:t>
            </w:r>
          </w:p>
        </w:tc>
        <w:tc>
          <w:tcPr>
            <w:vAlign w:val="center"/>
          </w:tcPr>
          <w:p w14:paraId="7ED76150">
            <w:r>
              <w:t>9365.6</w:t>
            </w:r>
          </w:p>
        </w:tc>
        <w:tc>
          <w:tcPr>
            <w:vAlign w:val="center"/>
          </w:tcPr>
          <w:p w14:paraId="196EBE58">
            <w:r>
              <w:t>6893.8</w:t>
            </w:r>
          </w:p>
        </w:tc>
        <w:tc>
          <w:tcPr>
            <w:vAlign w:val="center"/>
          </w:tcPr>
          <w:p w14:paraId="06F9D65F">
            <w:r>
              <w:t>9365.6</w:t>
            </w:r>
          </w:p>
        </w:tc>
        <w:tc>
          <w:tcPr>
            <w:vAlign w:val="center"/>
          </w:tcPr>
          <w:p w14:paraId="2C71AF4A">
            <w:r>
              <w:t>74</w:t>
            </w:r>
          </w:p>
        </w:tc>
      </w:tr>
      <w:tr w14:paraId="49C95C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FB0746">
            <w:r>
              <w:t>依据</w:t>
            </w:r>
          </w:p>
        </w:tc>
        <w:tc>
          <w:tcPr>
            <w:gridSpan w:val="4"/>
            <w:vAlign w:val="center"/>
          </w:tcPr>
          <w:p w14:paraId="7C2B75DE">
            <w:r>
              <w:t>《城市居住区热环境设计标准》4.4.2条</w:t>
            </w:r>
          </w:p>
        </w:tc>
      </w:tr>
      <w:tr w14:paraId="589573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B0F6F1">
            <w:r>
              <w:t>标准要求</w:t>
            </w:r>
          </w:p>
        </w:tc>
        <w:tc>
          <w:tcPr>
            <w:gridSpan w:val="4"/>
            <w:vAlign w:val="center"/>
          </w:tcPr>
          <w:p w14:paraId="411C0754">
            <w:r>
              <w:t>建筑屋面的绿化面积不应低于可绿化屋面面积的50%</w:t>
            </w:r>
          </w:p>
        </w:tc>
      </w:tr>
      <w:tr w14:paraId="3E334D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579C323">
            <w:r>
              <w:t>结论</w:t>
            </w:r>
          </w:p>
        </w:tc>
        <w:tc>
          <w:tcPr>
            <w:gridSpan w:val="4"/>
            <w:vAlign w:val="center"/>
          </w:tcPr>
          <w:p w14:paraId="4E432E2F">
            <w:r>
              <w:t>满足</w:t>
            </w:r>
          </w:p>
        </w:tc>
      </w:tr>
    </w:tbl>
    <w:p w14:paraId="32DA23EB">
      <w:pPr>
        <w:pStyle w:val="3"/>
        <w:ind w:firstLine="420"/>
        <w:rPr>
          <w:lang w:val="en-US"/>
        </w:rPr>
      </w:pPr>
      <w:bookmarkStart w:id="39" w:name="屋面绿化率"/>
      <w:bookmarkEnd w:id="39"/>
    </w:p>
    <w:p w14:paraId="75A0AFC8">
      <w:pPr>
        <w:pStyle w:val="2"/>
      </w:pPr>
      <w:bookmarkStart w:id="40" w:name="_Toc27245"/>
      <w:r>
        <w:rPr>
          <w:rFonts w:hint="eastAsia"/>
        </w:rPr>
        <w:t>结论</w:t>
      </w:r>
      <w:bookmarkEnd w:id="40"/>
    </w:p>
    <w:tbl>
      <w:tblPr>
        <w:tblStyle w:val="20"/>
        <w:tblW w:w="93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7"/>
        <w:gridCol w:w="2800"/>
        <w:gridCol w:w="1866"/>
        <w:gridCol w:w="2800"/>
      </w:tblGrid>
      <w:tr w14:paraId="6EB7C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shd w:val="clear" w:color="auto" w:fill="E6E6E6"/>
            <w:vAlign w:val="center"/>
          </w:tcPr>
          <w:p w14:paraId="30847B73">
            <w:pPr>
              <w:jc w:val="center"/>
            </w:pPr>
            <w:bookmarkStart w:id="41" w:name="结论"/>
            <w:bookmarkEnd w:id="41"/>
            <w:r>
              <w:t>类别</w:t>
            </w:r>
          </w:p>
        </w:tc>
        <w:tc>
          <w:tcPr>
            <w:tcW w:w="2800" w:type="dxa"/>
            <w:shd w:val="clear" w:color="auto" w:fill="E6E6E6"/>
            <w:vAlign w:val="center"/>
          </w:tcPr>
          <w:p w14:paraId="6580C4EA">
            <w:pPr>
              <w:jc w:val="center"/>
            </w:pPr>
            <w:r>
              <w:t>检查项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180F328E">
            <w:pPr>
              <w:jc w:val="center"/>
            </w:pPr>
            <w:r>
              <w:t>结论</w:t>
            </w:r>
          </w:p>
        </w:tc>
        <w:tc>
          <w:tcPr>
            <w:tcW w:w="2800" w:type="dxa"/>
            <w:shd w:val="clear" w:color="auto" w:fill="E6E6E6"/>
            <w:vAlign w:val="center"/>
          </w:tcPr>
          <w:p w14:paraId="1A133A7E">
            <w:pPr>
              <w:jc w:val="center"/>
            </w:pPr>
            <w:r>
              <w:t>备注</w:t>
            </w:r>
          </w:p>
        </w:tc>
      </w:tr>
      <w:tr w14:paraId="587000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restart"/>
            <w:shd w:val="clear" w:color="auto" w:fill="E6E6E6"/>
            <w:vAlign w:val="center"/>
          </w:tcPr>
          <w:p w14:paraId="57A28CAF">
            <w:r>
              <w:t>规定性设计</w:t>
            </w:r>
          </w:p>
        </w:tc>
        <w:tc>
          <w:tcPr>
            <w:tcW w:w="2800" w:type="dxa"/>
            <w:vAlign w:val="center"/>
          </w:tcPr>
          <w:p w14:paraId="11FC09CB">
            <w:r>
              <w:t>底层通风架空率</w:t>
            </w:r>
          </w:p>
        </w:tc>
        <w:tc>
          <w:tcPr>
            <w:tcW w:w="1866" w:type="dxa"/>
            <w:vAlign w:val="center"/>
          </w:tcPr>
          <w:p w14:paraId="0D1059A9">
            <w:bookmarkStart w:id="42" w:name="底层通风架空率结论"/>
            <w:r>
              <w:t>满足</w:t>
            </w:r>
            <w:bookmarkEnd w:id="42"/>
          </w:p>
        </w:tc>
        <w:tc>
          <w:tcPr>
            <w:tcW w:w="2800" w:type="dxa"/>
            <w:vMerge w:val="restart"/>
            <w:vAlign w:val="center"/>
          </w:tcPr>
          <w:p w14:paraId="474C629D">
            <w:r>
              <w:t>不满足任意一条时，进行评价性设计</w:t>
            </w:r>
          </w:p>
        </w:tc>
      </w:tr>
      <w:tr w14:paraId="6113BE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continue"/>
            <w:shd w:val="clear" w:color="auto" w:fill="E6E6E6"/>
            <w:vAlign w:val="center"/>
          </w:tcPr>
          <w:p w14:paraId="5BBE8C1F"/>
        </w:tc>
        <w:tc>
          <w:tcPr>
            <w:tcW w:w="2800" w:type="dxa"/>
            <w:vAlign w:val="center"/>
          </w:tcPr>
          <w:p w14:paraId="38127135">
            <w:r>
              <w:t>绿化遮阳体叶面积指数</w:t>
            </w:r>
          </w:p>
        </w:tc>
        <w:tc>
          <w:tcPr>
            <w:tcW w:w="1866" w:type="dxa"/>
            <w:vAlign w:val="center"/>
          </w:tcPr>
          <w:p w14:paraId="368DBFF8">
            <w:bookmarkStart w:id="43" w:name="绿化遮阳体叶面积指数结论"/>
            <w:r>
              <w:t>满足</w:t>
            </w:r>
            <w:bookmarkEnd w:id="43"/>
          </w:p>
        </w:tc>
        <w:tc>
          <w:tcPr>
            <w:tcW w:w="2800" w:type="dxa"/>
            <w:vMerge w:val="continue"/>
            <w:vAlign w:val="center"/>
          </w:tcPr>
          <w:p w14:paraId="770A4C08"/>
        </w:tc>
      </w:tr>
      <w:tr w14:paraId="1A2BA5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continue"/>
            <w:shd w:val="clear" w:color="auto" w:fill="E6E6E6"/>
            <w:vAlign w:val="center"/>
          </w:tcPr>
          <w:p w14:paraId="4D9052DA"/>
        </w:tc>
        <w:tc>
          <w:tcPr>
            <w:tcW w:w="2800" w:type="dxa"/>
            <w:vAlign w:val="center"/>
          </w:tcPr>
          <w:p w14:paraId="34C75D59">
            <w:r>
              <w:t>渗透蒸发指标</w:t>
            </w:r>
          </w:p>
        </w:tc>
        <w:tc>
          <w:tcPr>
            <w:tcW w:w="1866" w:type="dxa"/>
            <w:vAlign w:val="center"/>
          </w:tcPr>
          <w:p w14:paraId="5F54E53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满足</w:t>
            </w:r>
          </w:p>
        </w:tc>
        <w:tc>
          <w:tcPr>
            <w:tcW w:w="2800" w:type="dxa"/>
            <w:vMerge w:val="continue"/>
            <w:vAlign w:val="center"/>
          </w:tcPr>
          <w:p w14:paraId="56EB410E"/>
        </w:tc>
      </w:tr>
      <w:tr w14:paraId="088384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continue"/>
            <w:shd w:val="clear" w:color="auto" w:fill="E6E6E6"/>
            <w:vAlign w:val="center"/>
          </w:tcPr>
          <w:p w14:paraId="17792387"/>
        </w:tc>
        <w:tc>
          <w:tcPr>
            <w:tcW w:w="2800" w:type="dxa"/>
            <w:vAlign w:val="center"/>
          </w:tcPr>
          <w:p w14:paraId="1D54A778">
            <w:r>
              <w:t>屋面绿化率</w:t>
            </w:r>
          </w:p>
        </w:tc>
        <w:tc>
          <w:tcPr>
            <w:tcW w:w="1866" w:type="dxa"/>
            <w:vAlign w:val="center"/>
          </w:tcPr>
          <w:p w14:paraId="53A96DA0">
            <w:bookmarkStart w:id="44" w:name="屋面绿化率结论"/>
            <w:r>
              <w:t>满足</w:t>
            </w:r>
            <w:bookmarkEnd w:id="44"/>
          </w:p>
        </w:tc>
        <w:tc>
          <w:tcPr>
            <w:tcW w:w="2800" w:type="dxa"/>
            <w:vMerge w:val="continue"/>
            <w:vAlign w:val="center"/>
          </w:tcPr>
          <w:p w14:paraId="25DF7475"/>
        </w:tc>
      </w:tr>
      <w:tr w14:paraId="49C7C6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7" w:type="dxa"/>
            <w:gridSpan w:val="2"/>
            <w:shd w:val="clear" w:color="auto" w:fill="E6E6E6"/>
            <w:vAlign w:val="center"/>
          </w:tcPr>
          <w:p w14:paraId="387DD2E0">
            <w:r>
              <w:t>结论</w:t>
            </w:r>
          </w:p>
        </w:tc>
        <w:tc>
          <w:tcPr>
            <w:tcW w:w="4666" w:type="dxa"/>
            <w:gridSpan w:val="2"/>
            <w:vAlign w:val="center"/>
          </w:tcPr>
          <w:p w14:paraId="4E0FA8B3">
            <w:pPr>
              <w:rPr>
                <w:b/>
              </w:rPr>
            </w:pPr>
            <w:bookmarkStart w:id="45" w:name="总结论"/>
            <w:r>
              <w:rPr>
                <w:rFonts w:hint="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满足</w:t>
            </w:r>
            <w:bookmarkEnd w:id="45"/>
          </w:p>
        </w:tc>
      </w:tr>
    </w:tbl>
    <w:p w14:paraId="100D5C52">
      <w:pPr>
        <w:pStyle w:val="3"/>
        <w:ind w:firstLine="420"/>
        <w:rPr>
          <w:lang w:val="en-US"/>
        </w:rPr>
      </w:pPr>
      <w:bookmarkStart w:id="46" w:name="_GoBack"/>
      <w:bookmarkEnd w:id="46"/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278C5">
    <w:pPr>
      <w:pStyle w:val="14"/>
      <w:framePr w:wrap="around" w:vAnchor="text" w:hAnchor="margin" w:xAlign="center" w:y="1"/>
      <w:rPr>
        <w:rStyle w:val="24"/>
      </w:rPr>
    </w:pPr>
    <w:r>
      <w:fldChar w:fldCharType="begin"/>
    </w:r>
    <w:r>
      <w:rPr>
        <w:rStyle w:val="24"/>
      </w:rPr>
      <w:instrText xml:space="preserve">PAGE  </w:instrText>
    </w:r>
    <w:r>
      <w:fldChar w:fldCharType="separate"/>
    </w:r>
    <w:r>
      <w:rPr>
        <w:rStyle w:val="24"/>
      </w:rPr>
      <w:t>1</w:t>
    </w:r>
    <w:r>
      <w:fldChar w:fldCharType="end"/>
    </w:r>
  </w:p>
  <w:p w14:paraId="55300C9C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067FA">
    <w:pPr>
      <w:pStyle w:val="14"/>
      <w:framePr w:wrap="around" w:vAnchor="text" w:hAnchor="margin" w:xAlign="center" w:y="1"/>
      <w:rPr>
        <w:rStyle w:val="24"/>
      </w:rPr>
    </w:pPr>
    <w:r>
      <w:fldChar w:fldCharType="begin"/>
    </w:r>
    <w:r>
      <w:rPr>
        <w:rStyle w:val="24"/>
      </w:rPr>
      <w:instrText xml:space="preserve">PAGE  </w:instrText>
    </w:r>
    <w:r>
      <w:fldChar w:fldCharType="end"/>
    </w:r>
  </w:p>
  <w:p w14:paraId="56D1A388"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A94D9">
    <w:pPr>
      <w:pStyle w:val="14"/>
      <w:framePr w:wrap="around" w:vAnchor="text" w:hAnchor="margin" w:xAlign="center" w:y="1"/>
      <w:rPr>
        <w:rStyle w:val="24"/>
      </w:rPr>
    </w:pPr>
    <w:r>
      <w:rPr>
        <w:rStyle w:val="24"/>
      </w:rPr>
      <w:fldChar w:fldCharType="begin"/>
    </w:r>
    <w:r>
      <w:rPr>
        <w:rStyle w:val="24"/>
      </w:rPr>
      <w:instrText xml:space="preserve">PAGE  </w:instrText>
    </w:r>
    <w:r>
      <w:rPr>
        <w:rStyle w:val="24"/>
      </w:rPr>
      <w:fldChar w:fldCharType="separate"/>
    </w:r>
    <w:r>
      <w:rPr>
        <w:rStyle w:val="24"/>
      </w:rPr>
      <w:t>6</w:t>
    </w:r>
    <w:r>
      <w:rPr>
        <w:rStyle w:val="24"/>
      </w:rPr>
      <w:fldChar w:fldCharType="end"/>
    </w:r>
  </w:p>
  <w:p w14:paraId="0E7D4823">
    <w:pPr>
      <w:pStyle w:val="1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222F6">
    <w:pPr>
      <w:pStyle w:val="14"/>
      <w:framePr w:wrap="around" w:vAnchor="text" w:hAnchor="margin" w:xAlign="center" w:y="1"/>
      <w:rPr>
        <w:rStyle w:val="24"/>
      </w:rPr>
    </w:pPr>
    <w:r>
      <w:rPr>
        <w:rStyle w:val="24"/>
      </w:rPr>
      <w:fldChar w:fldCharType="begin"/>
    </w:r>
    <w:r>
      <w:rPr>
        <w:rStyle w:val="24"/>
      </w:rPr>
      <w:instrText xml:space="preserve">PAGE  </w:instrText>
    </w:r>
    <w:r>
      <w:rPr>
        <w:rStyle w:val="24"/>
      </w:rPr>
      <w:fldChar w:fldCharType="end"/>
    </w:r>
  </w:p>
  <w:p w14:paraId="67644235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93F29">
    <w:pPr>
      <w:pStyle w:val="15"/>
      <w:jc w:val="left"/>
    </w:pPr>
    <w:r>
      <w:rPr>
        <w:lang w:val="en-US"/>
      </w:rPr>
      <w:drawing>
        <wp:inline distT="0" distB="0" distL="0" distR="0">
          <wp:extent cx="972185" cy="251460"/>
          <wp:effectExtent l="0" t="0" r="0" b="0"/>
          <wp:docPr id="683894702" name="图片 6838947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3894702" name="图片 6838947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E430B">
    <w:pPr>
      <w:pStyle w:val="15"/>
      <w:jc w:val="left"/>
    </w:pPr>
    <w:r>
      <w:rPr>
        <w:lang w:val="en-US"/>
      </w:rPr>
      <w:drawing>
        <wp:inline distT="0" distB="0" distL="0" distR="0">
          <wp:extent cx="972185" cy="25146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A746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694BC2"/>
    <w:rsid w:val="0000545C"/>
    <w:rsid w:val="0001409C"/>
    <w:rsid w:val="00026B3F"/>
    <w:rsid w:val="00037A4C"/>
    <w:rsid w:val="00051EA5"/>
    <w:rsid w:val="00053ED5"/>
    <w:rsid w:val="0005749E"/>
    <w:rsid w:val="0006535C"/>
    <w:rsid w:val="00075B39"/>
    <w:rsid w:val="00084092"/>
    <w:rsid w:val="000A30EF"/>
    <w:rsid w:val="000B10AF"/>
    <w:rsid w:val="000B2169"/>
    <w:rsid w:val="000B2FE8"/>
    <w:rsid w:val="000C587B"/>
    <w:rsid w:val="000C5EBC"/>
    <w:rsid w:val="000D23A3"/>
    <w:rsid w:val="000E6711"/>
    <w:rsid w:val="000F23AD"/>
    <w:rsid w:val="000F6615"/>
    <w:rsid w:val="000F7EF2"/>
    <w:rsid w:val="001078A2"/>
    <w:rsid w:val="001103B1"/>
    <w:rsid w:val="001137ED"/>
    <w:rsid w:val="00116794"/>
    <w:rsid w:val="00117637"/>
    <w:rsid w:val="00122AE1"/>
    <w:rsid w:val="00125196"/>
    <w:rsid w:val="00135FAF"/>
    <w:rsid w:val="00142938"/>
    <w:rsid w:val="0014776A"/>
    <w:rsid w:val="00150A6F"/>
    <w:rsid w:val="001541C5"/>
    <w:rsid w:val="0016280A"/>
    <w:rsid w:val="001745BF"/>
    <w:rsid w:val="001812A0"/>
    <w:rsid w:val="001828F2"/>
    <w:rsid w:val="001B3169"/>
    <w:rsid w:val="001B7C87"/>
    <w:rsid w:val="001C59ED"/>
    <w:rsid w:val="001D4B47"/>
    <w:rsid w:val="001D6C1E"/>
    <w:rsid w:val="001F1D38"/>
    <w:rsid w:val="00203A7D"/>
    <w:rsid w:val="002109B0"/>
    <w:rsid w:val="002209B4"/>
    <w:rsid w:val="00234F4A"/>
    <w:rsid w:val="0023730B"/>
    <w:rsid w:val="00240A9E"/>
    <w:rsid w:val="00243608"/>
    <w:rsid w:val="00251126"/>
    <w:rsid w:val="002555B8"/>
    <w:rsid w:val="00256900"/>
    <w:rsid w:val="00272BDC"/>
    <w:rsid w:val="00285189"/>
    <w:rsid w:val="002A55EA"/>
    <w:rsid w:val="002B2BB0"/>
    <w:rsid w:val="002B4464"/>
    <w:rsid w:val="002F0C69"/>
    <w:rsid w:val="002F1F5C"/>
    <w:rsid w:val="0030437C"/>
    <w:rsid w:val="00310258"/>
    <w:rsid w:val="003121F7"/>
    <w:rsid w:val="00314D29"/>
    <w:rsid w:val="00327713"/>
    <w:rsid w:val="003320D8"/>
    <w:rsid w:val="00346AFD"/>
    <w:rsid w:val="00353066"/>
    <w:rsid w:val="00353FD3"/>
    <w:rsid w:val="0036613D"/>
    <w:rsid w:val="00366CF7"/>
    <w:rsid w:val="003746AC"/>
    <w:rsid w:val="00384F21"/>
    <w:rsid w:val="003B0012"/>
    <w:rsid w:val="003C6997"/>
    <w:rsid w:val="003E4437"/>
    <w:rsid w:val="00417088"/>
    <w:rsid w:val="00447C50"/>
    <w:rsid w:val="00463861"/>
    <w:rsid w:val="004654ED"/>
    <w:rsid w:val="004760A9"/>
    <w:rsid w:val="00480100"/>
    <w:rsid w:val="00480784"/>
    <w:rsid w:val="00481CF8"/>
    <w:rsid w:val="00486A3D"/>
    <w:rsid w:val="0048765E"/>
    <w:rsid w:val="00490A6C"/>
    <w:rsid w:val="00495F4C"/>
    <w:rsid w:val="00496E8B"/>
    <w:rsid w:val="004A29D4"/>
    <w:rsid w:val="004B5E97"/>
    <w:rsid w:val="004C4D23"/>
    <w:rsid w:val="004C69C1"/>
    <w:rsid w:val="004C79DA"/>
    <w:rsid w:val="004D230F"/>
    <w:rsid w:val="004D449D"/>
    <w:rsid w:val="004D5876"/>
    <w:rsid w:val="004E2129"/>
    <w:rsid w:val="004E291D"/>
    <w:rsid w:val="004E563F"/>
    <w:rsid w:val="004F534A"/>
    <w:rsid w:val="004F6872"/>
    <w:rsid w:val="004F694D"/>
    <w:rsid w:val="0050003A"/>
    <w:rsid w:val="00503750"/>
    <w:rsid w:val="00503B39"/>
    <w:rsid w:val="005053D6"/>
    <w:rsid w:val="005159DF"/>
    <w:rsid w:val="005207E3"/>
    <w:rsid w:val="005215FB"/>
    <w:rsid w:val="0054514B"/>
    <w:rsid w:val="00545FB7"/>
    <w:rsid w:val="00561C8F"/>
    <w:rsid w:val="005755BA"/>
    <w:rsid w:val="0057692D"/>
    <w:rsid w:val="005812C2"/>
    <w:rsid w:val="005C59B5"/>
    <w:rsid w:val="005C7162"/>
    <w:rsid w:val="005D7DB4"/>
    <w:rsid w:val="005E5D7C"/>
    <w:rsid w:val="005F7D7C"/>
    <w:rsid w:val="00613298"/>
    <w:rsid w:val="00645189"/>
    <w:rsid w:val="00651069"/>
    <w:rsid w:val="00657ADD"/>
    <w:rsid w:val="00671FB7"/>
    <w:rsid w:val="0067336D"/>
    <w:rsid w:val="00685427"/>
    <w:rsid w:val="00685C60"/>
    <w:rsid w:val="00694FCA"/>
    <w:rsid w:val="006A159C"/>
    <w:rsid w:val="006A38D1"/>
    <w:rsid w:val="006B5695"/>
    <w:rsid w:val="006B57E0"/>
    <w:rsid w:val="006C3941"/>
    <w:rsid w:val="006E4081"/>
    <w:rsid w:val="0072017E"/>
    <w:rsid w:val="0072152D"/>
    <w:rsid w:val="0072214C"/>
    <w:rsid w:val="007461BA"/>
    <w:rsid w:val="007514FE"/>
    <w:rsid w:val="007725EE"/>
    <w:rsid w:val="00774599"/>
    <w:rsid w:val="00783043"/>
    <w:rsid w:val="007D1A35"/>
    <w:rsid w:val="007E78A4"/>
    <w:rsid w:val="008153D6"/>
    <w:rsid w:val="00832581"/>
    <w:rsid w:val="008329E7"/>
    <w:rsid w:val="00847C4B"/>
    <w:rsid w:val="00862D9C"/>
    <w:rsid w:val="00870C53"/>
    <w:rsid w:val="00872A29"/>
    <w:rsid w:val="00875108"/>
    <w:rsid w:val="00883D6C"/>
    <w:rsid w:val="00886207"/>
    <w:rsid w:val="00897FCE"/>
    <w:rsid w:val="008B02AA"/>
    <w:rsid w:val="008B1B27"/>
    <w:rsid w:val="008B2417"/>
    <w:rsid w:val="008B6266"/>
    <w:rsid w:val="008B6B76"/>
    <w:rsid w:val="008E3905"/>
    <w:rsid w:val="008E7DE0"/>
    <w:rsid w:val="008F4A97"/>
    <w:rsid w:val="009115AF"/>
    <w:rsid w:val="00916B0E"/>
    <w:rsid w:val="00917B5B"/>
    <w:rsid w:val="0092562F"/>
    <w:rsid w:val="00935D40"/>
    <w:rsid w:val="00940A35"/>
    <w:rsid w:val="00940CDC"/>
    <w:rsid w:val="009410A0"/>
    <w:rsid w:val="00951BF6"/>
    <w:rsid w:val="00955355"/>
    <w:rsid w:val="00963036"/>
    <w:rsid w:val="009744B2"/>
    <w:rsid w:val="009B5732"/>
    <w:rsid w:val="009C3CAA"/>
    <w:rsid w:val="009C61AC"/>
    <w:rsid w:val="009D3A9F"/>
    <w:rsid w:val="009D580B"/>
    <w:rsid w:val="009D7B62"/>
    <w:rsid w:val="009E4629"/>
    <w:rsid w:val="009E4EB7"/>
    <w:rsid w:val="009E5E29"/>
    <w:rsid w:val="009F3F68"/>
    <w:rsid w:val="009F3F6B"/>
    <w:rsid w:val="00A0719E"/>
    <w:rsid w:val="00A20E2C"/>
    <w:rsid w:val="00A305A7"/>
    <w:rsid w:val="00A32590"/>
    <w:rsid w:val="00A355BD"/>
    <w:rsid w:val="00A402EA"/>
    <w:rsid w:val="00A43C67"/>
    <w:rsid w:val="00A53163"/>
    <w:rsid w:val="00A72106"/>
    <w:rsid w:val="00A72129"/>
    <w:rsid w:val="00A83D4E"/>
    <w:rsid w:val="00A85B01"/>
    <w:rsid w:val="00AA47FE"/>
    <w:rsid w:val="00AA7C65"/>
    <w:rsid w:val="00AB536D"/>
    <w:rsid w:val="00AC7EEF"/>
    <w:rsid w:val="00AD1383"/>
    <w:rsid w:val="00B047B3"/>
    <w:rsid w:val="00B107D2"/>
    <w:rsid w:val="00B10A58"/>
    <w:rsid w:val="00B16C0D"/>
    <w:rsid w:val="00B26E83"/>
    <w:rsid w:val="00B36FB1"/>
    <w:rsid w:val="00B41640"/>
    <w:rsid w:val="00B4240C"/>
    <w:rsid w:val="00B473C4"/>
    <w:rsid w:val="00B5358C"/>
    <w:rsid w:val="00B55B22"/>
    <w:rsid w:val="00B60841"/>
    <w:rsid w:val="00B645C9"/>
    <w:rsid w:val="00B70488"/>
    <w:rsid w:val="00B7457E"/>
    <w:rsid w:val="00B8421D"/>
    <w:rsid w:val="00BA4FB9"/>
    <w:rsid w:val="00BA50C0"/>
    <w:rsid w:val="00BA63DA"/>
    <w:rsid w:val="00BB1C06"/>
    <w:rsid w:val="00BC24EE"/>
    <w:rsid w:val="00BD489D"/>
    <w:rsid w:val="00BD4A14"/>
    <w:rsid w:val="00BD7A34"/>
    <w:rsid w:val="00BE4349"/>
    <w:rsid w:val="00C0203A"/>
    <w:rsid w:val="00C21B0B"/>
    <w:rsid w:val="00C22E6B"/>
    <w:rsid w:val="00C3317F"/>
    <w:rsid w:val="00C43944"/>
    <w:rsid w:val="00C63237"/>
    <w:rsid w:val="00C67778"/>
    <w:rsid w:val="00C73687"/>
    <w:rsid w:val="00C83ED1"/>
    <w:rsid w:val="00C95557"/>
    <w:rsid w:val="00C97E25"/>
    <w:rsid w:val="00CA1AA5"/>
    <w:rsid w:val="00CA311D"/>
    <w:rsid w:val="00CB5853"/>
    <w:rsid w:val="00CC50E4"/>
    <w:rsid w:val="00CE14CD"/>
    <w:rsid w:val="00CE28AA"/>
    <w:rsid w:val="00CE3E52"/>
    <w:rsid w:val="00CE6578"/>
    <w:rsid w:val="00D04613"/>
    <w:rsid w:val="00D23AA7"/>
    <w:rsid w:val="00D345DA"/>
    <w:rsid w:val="00D40158"/>
    <w:rsid w:val="00D43C46"/>
    <w:rsid w:val="00D478B3"/>
    <w:rsid w:val="00D5601F"/>
    <w:rsid w:val="00D605FE"/>
    <w:rsid w:val="00D62A9A"/>
    <w:rsid w:val="00D63713"/>
    <w:rsid w:val="00D96AE9"/>
    <w:rsid w:val="00DA1F89"/>
    <w:rsid w:val="00DC73AD"/>
    <w:rsid w:val="00DD16C4"/>
    <w:rsid w:val="00DD42A2"/>
    <w:rsid w:val="00DD50F9"/>
    <w:rsid w:val="00DE224D"/>
    <w:rsid w:val="00DF470C"/>
    <w:rsid w:val="00E0575B"/>
    <w:rsid w:val="00E16221"/>
    <w:rsid w:val="00E423BB"/>
    <w:rsid w:val="00E4518A"/>
    <w:rsid w:val="00E47F44"/>
    <w:rsid w:val="00E72EFD"/>
    <w:rsid w:val="00E75AC2"/>
    <w:rsid w:val="00E76B5D"/>
    <w:rsid w:val="00E81ACD"/>
    <w:rsid w:val="00EA0210"/>
    <w:rsid w:val="00EA0B95"/>
    <w:rsid w:val="00EA3CE7"/>
    <w:rsid w:val="00EA741A"/>
    <w:rsid w:val="00EB1275"/>
    <w:rsid w:val="00EC27FD"/>
    <w:rsid w:val="00EC70F3"/>
    <w:rsid w:val="00EC7220"/>
    <w:rsid w:val="00ED2652"/>
    <w:rsid w:val="00ED3418"/>
    <w:rsid w:val="00EE005A"/>
    <w:rsid w:val="00EF0674"/>
    <w:rsid w:val="00EF5872"/>
    <w:rsid w:val="00EF5DD5"/>
    <w:rsid w:val="00F03100"/>
    <w:rsid w:val="00F107BC"/>
    <w:rsid w:val="00F16AE6"/>
    <w:rsid w:val="00F17B59"/>
    <w:rsid w:val="00F2167E"/>
    <w:rsid w:val="00F25DFA"/>
    <w:rsid w:val="00F25EFC"/>
    <w:rsid w:val="00F312DB"/>
    <w:rsid w:val="00F4565A"/>
    <w:rsid w:val="00F4695E"/>
    <w:rsid w:val="00F7510E"/>
    <w:rsid w:val="00F75DD1"/>
    <w:rsid w:val="00F86A21"/>
    <w:rsid w:val="00F8742B"/>
    <w:rsid w:val="00F90890"/>
    <w:rsid w:val="00FA4B87"/>
    <w:rsid w:val="00FA733F"/>
    <w:rsid w:val="00FB4DA8"/>
    <w:rsid w:val="00FC0388"/>
    <w:rsid w:val="00FD4568"/>
    <w:rsid w:val="00FE25F2"/>
    <w:rsid w:val="00FF2243"/>
    <w:rsid w:val="02C62A01"/>
    <w:rsid w:val="13694BC2"/>
    <w:rsid w:val="3994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2">
    <w:name w:val="Default Paragraph Font"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qFormat/>
    <w:uiPriority w:val="39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link w:val="2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qFormat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qFormat/>
    <w:uiPriority w:val="39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paragraph" w:styleId="18">
    <w:name w:val="Normal (Web)"/>
    <w:basedOn w:val="1"/>
    <w:unhideWhenUsed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styleId="19">
    <w:name w:val="Title"/>
    <w:basedOn w:val="1"/>
    <w:next w:val="1"/>
    <w:link w:val="26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21">
    <w:name w:val="Table Grid"/>
    <w:basedOn w:val="20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page number"/>
    <w:basedOn w:val="22"/>
    <w:qFormat/>
    <w:uiPriority w:val="0"/>
  </w:style>
  <w:style w:type="character" w:styleId="25">
    <w:name w:val="Hyperlink"/>
    <w:uiPriority w:val="99"/>
    <w:rPr>
      <w:color w:val="0000FF"/>
      <w:u w:val="single"/>
    </w:rPr>
  </w:style>
  <w:style w:type="character" w:customStyle="1" w:styleId="26">
    <w:name w:val="标题 字符"/>
    <w:basedOn w:val="22"/>
    <w:link w:val="19"/>
    <w:uiPriority w:val="0"/>
    <w:rPr>
      <w:rFonts w:asciiTheme="majorHAnsi" w:hAnsiTheme="majorHAnsi" w:cstheme="majorBidi"/>
      <w:b/>
      <w:bCs/>
      <w:sz w:val="32"/>
      <w:szCs w:val="32"/>
      <w:lang w:val="en-GB"/>
    </w:rPr>
  </w:style>
  <w:style w:type="character" w:customStyle="1" w:styleId="27">
    <w:name w:val="页眉 字符"/>
    <w:basedOn w:val="22"/>
    <w:link w:val="15"/>
    <w:qFormat/>
    <w:uiPriority w:val="0"/>
    <w:rPr>
      <w:sz w:val="21"/>
      <w:szCs w:val="18"/>
      <w:lang w:val="en-GB"/>
    </w:rPr>
  </w:style>
  <w:style w:type="table" w:customStyle="1" w:styleId="28">
    <w:name w:val="网格型1"/>
    <w:basedOn w:val="2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5.bmp"/><Relationship Id="rId13" Type="http://schemas.openxmlformats.org/officeDocument/2006/relationships/image" Target="media/image4.bmp"/><Relationship Id="rId12" Type="http://schemas.openxmlformats.org/officeDocument/2006/relationships/image" Target="media/image3.png"/><Relationship Id="rId11" Type="http://schemas.openxmlformats.org/officeDocument/2006/relationships/image" Target="media/image2.bmp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Local\Temp\tmp5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tmp5.dotx</Template>
  <Pages>9</Pages>
  <Words>1864</Words>
  <Characters>3087</Characters>
  <Lines>274</Lines>
  <Paragraphs>283</Paragraphs>
  <TotalTime>65</TotalTime>
  <ScaleCrop>false</ScaleCrop>
  <LinksUpToDate>false</LinksUpToDate>
  <CharactersWithSpaces>3140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2025-12-26T16:00:00Z</dcterms:created>
  <dc:creator>随波逐流</dc:creator>
  <cp:lastModifiedBy>德国noblesse 陆峰13120698638</cp:lastModifiedBy>
  <dcterms:modified xsi:type="dcterms:W3CDTF">2026-03-25T07:44:27Z</dcterms:modified>
  <dc:title>住区热环境规定性设计计算书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AA1B79356BDE4BCEAE559C6C615A0DAA_11</vt:lpwstr>
  </property>
  <property fmtid="{D5CDD505-2E9C-101B-9397-08002B2CF9AE}" pid="3" name="KSOTemplateDocerSaveRecord">
    <vt:lpwstr>eyJoZGlkIjoiZGRkMzFlYTcyNGE4MWUzNjgyNGYzOTMyYmM0YmM1NmUiLCJ1c2VySWQiOiIzMjA5MTM5NDEifQ==</vt:lpwstr>
  </property>
  <property fmtid="{D5CDD505-2E9C-101B-9397-08002B2CF9AE}" pid="4" name="KSOProductBuildVer">
    <vt:lpwstr>2052-12.1.0.25225</vt:lpwstr>
  </property>
</Properties>
</file>