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呼吸的筒仓广州水泥厂绿色改造酒店设计3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围护结构提高40.08%或负荷降低45.5%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卧室分户墙和卧室分户楼板两侧房间之间的空气声隔声性能（计权标准化声压级差与交通噪声频谱修正量之和DnT,w+Ctr)≥50dB，卧室分户楼板的撞击声隔声性能（计权标准化撞击声压级L'nT,w）≤55dB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总得分：Q=（Q0+Q1+Q2+Q3+Q4+Q5+QA）/10=94.9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4219194" cy="229679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4219194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72.0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