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:rsidR="00000000" w:rsidRPr="009A6854" w:rsidRDefault="00000000">
      <w:r w:rsidRPr="009A6854">
        <w:rPr>
          <w:rFonts w:hint="eastAsia"/>
        </w:rPr>
        <w:t>项目施工图纸及其他资料</w:t>
      </w:r>
    </w:p>
    <w:p w:rsidR="00000000" w:rsidRPr="009A6854" w:rsidRDefault="00000000">
      <w:r w:rsidRPr="009A6854">
        <w:rPr>
          <w:rFonts w:hint="eastAsia"/>
        </w:rPr>
        <w:t>项目工程概算清单等</w:t>
      </w:r>
    </w:p>
    <w:p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>GB 50034-2013</w:t>
      </w:r>
      <w:r w:rsidRPr="009A6854">
        <w:rPr>
          <w:rFonts w:hint="eastAsia"/>
        </w:rPr>
        <w:t>）</w:t>
      </w:r>
    </w:p>
    <w:p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bookmarkEnd w:id="3"/>
      <w:r w:rsidR="00C53977" w:rsidRPr="00C53977">
        <w:rPr>
          <w:rFonts w:hint="eastAsia"/>
        </w:rPr>
        <w:t>光驱云庭</w:t>
      </w:r>
      <w:r w:rsidR="00C53977" w:rsidRPr="00C53977">
        <w:rPr>
          <w:rFonts w:hint="eastAsia"/>
        </w:rPr>
        <w:t>--</w:t>
      </w:r>
      <w:r w:rsidR="00C53977" w:rsidRPr="00C53977">
        <w:rPr>
          <w:rFonts w:hint="eastAsia"/>
        </w:rPr>
        <w:t>可持续循环体系下的高层办公建筑设计</w:t>
      </w:r>
    </w:p>
    <w:p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38075.69</w:t>
      </w:r>
      <w:bookmarkEnd w:id="4"/>
      <w:r>
        <w:rPr>
          <w:rFonts w:hint="eastAsia"/>
        </w:rPr>
        <w:t xml:space="preserve"> </w:t>
      </w:r>
      <w:r>
        <w:rPr>
          <w:rFonts w:hint="eastAsia"/>
        </w:rPr>
        <w:t>㎡</w:t>
      </w:r>
    </w:p>
    <w:p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23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2</w:t>
      </w:r>
      <w:bookmarkEnd w:id="6"/>
      <w:r w:rsidRPr="009A6854">
        <w:rPr>
          <w:rFonts w:hint="eastAsia"/>
        </w:rPr>
        <w:t>。</w:t>
      </w:r>
    </w:p>
    <w:p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103.80</w:t>
      </w:r>
      <w:bookmarkEnd w:id="7"/>
      <w:r>
        <w:rPr>
          <w:rFonts w:hint="eastAsia"/>
        </w:rPr>
        <w:t xml:space="preserve"> m</w:t>
      </w:r>
    </w:p>
    <w:p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</w:t>
      </w:r>
      <w:r>
        <w:rPr>
          <w:rFonts w:hint="eastAsia"/>
        </w:rPr>
        <w:t>年</w:t>
      </w:r>
    </w:p>
    <w:p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在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福建</w:t>
      </w:r>
      <w:r>
        <w:t>-</w:t>
      </w:r>
      <w:r>
        <w:t>厦门</w:t>
      </w:r>
      <w:bookmarkEnd w:id="10"/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951.512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</w:p>
    <w:p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552"/>
        <w:gridCol w:w="2176"/>
      </w:tblGrid>
      <w:tr w:rsidR="00655FBF" w:rsidRPr="00771B84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328.717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7137.947</w:t>
            </w:r>
            <w:bookmarkEnd w:id="18"/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0.000</w:t>
            </w:r>
            <w:bookmarkEnd w:id="19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0.000</w:t>
            </w:r>
            <w:bookmarkEnd w:id="21"/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287.370</w:t>
            </w:r>
            <w:bookmarkEnd w:id="22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6240.115</w:t>
            </w:r>
            <w:bookmarkEnd w:id="24"/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1127.179</w:t>
            </w:r>
            <w:bookmarkEnd w:id="25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24476.204</w:t>
            </w:r>
            <w:bookmarkEnd w:id="27"/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9"/>
          </w:p>
        </w:tc>
      </w:tr>
      <w:tr w:rsidR="00747245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157.784</w:t>
            </w:r>
            <w:bookmarkEnd w:id="30"/>
          </w:p>
        </w:tc>
        <w:tc>
          <w:tcPr>
            <w:tcW w:w="2552" w:type="dxa"/>
            <w:vMerge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3426.211</w:t>
            </w:r>
            <w:bookmarkEnd w:id="32"/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2E4F84" w:rsidRPr="00771B84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000000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壁挂炉供热量"/>
            <w:r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552" w:type="dxa"/>
            <w:shd w:val="clear" w:color="auto" w:fill="FFFFFF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燃气壁挂炉_燃料CO2排放因子"/>
            <w:r>
              <w:t>55.54</w:t>
            </w:r>
            <w:bookmarkEnd w:id="34"/>
          </w:p>
        </w:tc>
        <w:tc>
          <w:tcPr>
            <w:tcW w:w="2176" w:type="dxa"/>
            <w:shd w:val="clear" w:color="auto" w:fill="FFFFFF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壁挂炉碳排放"/>
            <w:r>
              <w:t>0.000</w:t>
            </w:r>
            <w:bookmarkEnd w:id="35"/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制冷剂消耗量"/>
            <w:r>
              <w:t>0</w:t>
            </w:r>
            <w:bookmarkEnd w:id="36"/>
          </w:p>
        </w:tc>
        <w:tc>
          <w:tcPr>
            <w:tcW w:w="2176" w:type="dxa"/>
            <w:shd w:val="clear" w:color="auto" w:fill="FFFFFF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制冷剂碳排放"/>
            <w:r>
              <w:t>0.000</w:t>
            </w:r>
            <w:bookmarkEnd w:id="37"/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光伏能耗"/>
            <w:r w:rsidRPr="00B803ED">
              <w:rPr>
                <w:rFonts w:hint="eastAsia"/>
                <w:szCs w:val="21"/>
              </w:rPr>
              <w:t>114.995</w:t>
            </w:r>
            <w:bookmarkEnd w:id="38"/>
          </w:p>
        </w:tc>
        <w:tc>
          <w:tcPr>
            <w:tcW w:w="2552" w:type="dxa"/>
            <w:vMerge w:val="restart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电力CO2排放因子7"/>
            <w:r>
              <w:t>0.5703</w:t>
            </w:r>
            <w:bookmarkEnd w:id="39"/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光伏能耗_电耗CO2排放"/>
            <w:r>
              <w:t>2497.067</w:t>
            </w:r>
            <w:bookmarkEnd w:id="40"/>
          </w:p>
        </w:tc>
      </w:tr>
      <w:tr w:rsidR="00655FBF" w:rsidRPr="00771B84" w:rsidTr="00137869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风力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552" w:type="dxa"/>
            <w:vMerge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风力能耗_电耗CO2排放"/>
            <w:r>
              <w:t>0.000</w:t>
            </w:r>
            <w:bookmarkEnd w:id="42"/>
          </w:p>
        </w:tc>
      </w:tr>
      <w:tr w:rsidR="005D0C6A" w:rsidRPr="00771B84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设计建筑碳汇tCO2"/>
            <w:r>
              <w:t>0.000</w:t>
            </w:r>
            <w:bookmarkEnd w:id="43"/>
          </w:p>
        </w:tc>
      </w:tr>
      <w:tr w:rsidR="00655FBF" w:rsidRPr="00771B84" w:rsidTr="00137869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4" w:name="建筑总碳排放"/>
            <w:r>
              <w:t>38783.426</w:t>
            </w:r>
            <w:bookmarkEnd w:id="44"/>
          </w:p>
        </w:tc>
        <w:bookmarkStart w:id="45" w:name="建筑总碳排放平米"/>
        <w:bookmarkEnd w:id="45"/>
      </w:tr>
    </w:tbl>
    <w:bookmarkEnd w:id="15"/>
    <w:p w:rsidR="00000000" w:rsidRPr="009A6854" w:rsidRDefault="00000000" w:rsidP="008073E6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46" w:name="建筑拆除碳排放tCO2"/>
      <w:r>
        <w:t>951.512</w:t>
      </w:r>
      <w:bookmarkEnd w:id="46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7" w:name="建材生产碳排放2_tCO2"/>
            <w:r>
              <w:t>0.000</w:t>
            </w:r>
            <w:bookmarkEnd w:id="47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8" w:name="建材生产碳排放tCO2_m2"/>
            <w:r>
              <w:t>0.000</w:t>
            </w:r>
            <w:bookmarkEnd w:id="48"/>
          </w:p>
        </w:tc>
        <w:tc>
          <w:tcPr>
            <w:tcW w:w="1536" w:type="dxa"/>
            <w:vAlign w:val="center"/>
          </w:tcPr>
          <w:p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9" w:name="建材生产占比"/>
            <w:r>
              <w:t>0.000</w:t>
            </w:r>
            <w:bookmarkEnd w:id="49"/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0" w:name="建材运输碳排放2_tCO2"/>
            <w:r>
              <w:t>0.000</w:t>
            </w:r>
            <w:bookmarkEnd w:id="50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1" w:name="建材运输碳排放tCO2_m2"/>
            <w:r>
              <w:t>0.000</w:t>
            </w:r>
            <w:bookmarkEnd w:id="51"/>
          </w:p>
        </w:tc>
        <w:tc>
          <w:tcPr>
            <w:tcW w:w="153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2" w:name="建材运输占比"/>
            <w:r>
              <w:t>0.000</w:t>
            </w:r>
            <w:bookmarkEnd w:id="52"/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3" w:name="建筑建造碳排放2_tCO2"/>
            <w:r>
              <w:t>951.512</w:t>
            </w:r>
            <w:bookmarkEnd w:id="53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4" w:name="建筑建造碳排放tCO2_m2"/>
            <w:r>
              <w:t>0.025</w:t>
            </w:r>
            <w:bookmarkEnd w:id="54"/>
          </w:p>
        </w:tc>
        <w:tc>
          <w:tcPr>
            <w:tcW w:w="153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筑建造占比"/>
            <w:r>
              <w:t>2.339</w:t>
            </w:r>
            <w:bookmarkEnd w:id="55"/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筑总碳排放tCO2"/>
            <w:r>
              <w:t>38783.426</w:t>
            </w:r>
            <w:bookmarkEnd w:id="56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筑总碳排放tCO2_m2"/>
            <w:r>
              <w:t>1.019</w:t>
            </w:r>
            <w:bookmarkEnd w:id="57"/>
          </w:p>
        </w:tc>
        <w:tc>
          <w:tcPr>
            <w:tcW w:w="153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筑运行占比"/>
            <w:r>
              <w:t>95.323</w:t>
            </w:r>
            <w:bookmarkEnd w:id="58"/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424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筑拆除碳排放2_tCO2"/>
            <w:r>
              <w:t>951.512</w:t>
            </w:r>
            <w:bookmarkEnd w:id="59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筑拆除碳排放tCO2_m2"/>
            <w:r>
              <w:t>0.025</w:t>
            </w:r>
            <w:bookmarkEnd w:id="60"/>
          </w:p>
        </w:tc>
        <w:tc>
          <w:tcPr>
            <w:tcW w:w="153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筑拆除占比"/>
            <w:r>
              <w:t>2.339</w:t>
            </w:r>
            <w:bookmarkEnd w:id="61"/>
          </w:p>
        </w:tc>
      </w:tr>
      <w:tr w:rsidR="00442146" w:rsidRPr="009A6854" w:rsidTr="00616FFE">
        <w:trPr>
          <w:trHeight w:hRule="exact" w:val="340"/>
          <w:jc w:val="center"/>
        </w:trPr>
        <w:tc>
          <w:tcPr>
            <w:tcW w:w="2263" w:type="dxa"/>
            <w:gridSpan w:val="2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全生命周期碳排放tCO2"/>
            <w:r>
              <w:t>40686.450</w:t>
            </w:r>
            <w:bookmarkEnd w:id="62"/>
          </w:p>
        </w:tc>
        <w:tc>
          <w:tcPr>
            <w:tcW w:w="351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全生命周期碳排放tCO2_m2"/>
            <w:r>
              <w:t>1.069</w:t>
            </w:r>
            <w:bookmarkEnd w:id="63"/>
          </w:p>
        </w:tc>
        <w:tc>
          <w:tcPr>
            <w:tcW w:w="1536" w:type="dxa"/>
            <w:vAlign w:val="center"/>
          </w:tcPr>
          <w:p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64" w:name="全生命周期碳排放2_tCO2"/>
      <w:r>
        <w:t>40686.450</w:t>
      </w:r>
      <w:bookmarkEnd w:id="64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65" w:name="全生命周期碳排放2_tCO2_m2"/>
      <w:r>
        <w:t>1.069</w:t>
      </w:r>
      <w:bookmarkEnd w:id="65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66" w:name="全生命周期碳排放tCO2_m2_a"/>
      <w:r>
        <w:t>0.021</w:t>
      </w:r>
      <w:bookmarkEnd w:id="66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67" w:name="全生命周期碳排放kgCO2_m2_a"/>
      <w:r>
        <w:t>21.000</w:t>
      </w:r>
      <w:bookmarkEnd w:id="67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831" w:rsidRDefault="00E94831">
      <w:pPr>
        <w:spacing w:line="240" w:lineRule="auto"/>
      </w:pPr>
      <w:r>
        <w:separator/>
      </w:r>
    </w:p>
  </w:endnote>
  <w:endnote w:type="continuationSeparator" w:id="0">
    <w:p w:rsidR="00E94831" w:rsidRDefault="00E94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146797"/>
    </w:sdtPr>
    <w:sdtContent>
      <w:p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1DE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831" w:rsidRDefault="00E94831">
      <w:pPr>
        <w:spacing w:line="240" w:lineRule="auto"/>
      </w:pPr>
      <w:r>
        <w:separator/>
      </w:r>
    </w:p>
  </w:footnote>
  <w:footnote w:type="continuationSeparator" w:id="0">
    <w:p w:rsidR="00E94831" w:rsidRDefault="00E94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9A"/>
    <w:rsid w:val="001915A3"/>
    <w:rsid w:val="00217F62"/>
    <w:rsid w:val="00465AF2"/>
    <w:rsid w:val="00A906D8"/>
    <w:rsid w:val="00AB5A74"/>
    <w:rsid w:val="00C53977"/>
    <w:rsid w:val="00D10E9A"/>
    <w:rsid w:val="00E948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C2626-011B-4E54-9D55-B2ED5EF7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6A84C63-89CF-4CAD-BE49-31FB8E6B5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da wang</cp:lastModifiedBy>
  <cp:revision>2</cp:revision>
  <cp:lastPrinted>2022-05-19T10:38:00Z</cp:lastPrinted>
  <dcterms:created xsi:type="dcterms:W3CDTF">2025-12-30T06:38:00Z</dcterms:created>
  <dcterms:modified xsi:type="dcterms:W3CDTF">2025-12-30T06:39:00Z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