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pPr>
      <w:bookmarkStart w:id="72" w:name="_GoBack"/>
      <w:bookmarkEnd w:id="72"/>
    </w:p>
    <w:p>
      <w:pPr>
        <w:pStyle w:val="46"/>
      </w:pPr>
    </w:p>
    <w:p>
      <w:pPr>
        <w:pStyle w:val="46"/>
        <w:jc w:val="distribute"/>
        <w:rPr>
          <w:b/>
          <w:sz w:val="72"/>
          <w:szCs w:val="72"/>
        </w:rPr>
      </w:pPr>
      <w:r>
        <w:rPr>
          <w:rFonts w:hint="eastAsia"/>
          <w:b/>
          <w:sz w:val="72"/>
          <w:szCs w:val="72"/>
        </w:rPr>
        <w:t>室外风环境模拟分析报告</w:t>
      </w:r>
    </w:p>
    <w:p>
      <w:pPr>
        <w:pStyle w:val="50"/>
        <w:spacing w:line="400" w:lineRule="exact"/>
      </w:pPr>
    </w:p>
    <w:p>
      <w:pPr>
        <w:pStyle w:val="50"/>
        <w:rPr>
          <w:b/>
        </w:rPr>
      </w:pPr>
      <w:bookmarkStart w:id="0" w:name="项目名称"/>
      <w:r>
        <w:t>幼儿园设计</w:t>
      </w:r>
    </w:p>
    <w:p>
      <w:pPr>
        <w:pStyle w:val="50"/>
        <w:rPr>
          <w:b/>
        </w:rPr>
      </w:pPr>
      <w:r>
        <w:rPr>
          <w:rFonts w:hint="eastAsia"/>
          <w:b/>
        </w:rPr>
        <w:t>设计编号：</w:t>
      </w:r>
      <w:bookmarkStart w:id="1" w:name="设计编号"/>
    </w:p>
    <w:p>
      <w:pPr>
        <w:pStyle w:val="50"/>
        <w:rPr>
          <w:b/>
        </w:rPr>
      </w:pPr>
    </w:p>
    <w:p>
      <w:pPr>
        <w:pStyle w:val="46"/>
        <w:jc w:val="center"/>
      </w:pPr>
      <w:bookmarkStart w:id="2" w:name="二维码"/>
      <w:r>
        <w:drawing>
          <wp:inline distT="0" distB="0" distL="0" distR="0">
            <wp:extent cx="1085850" cy="10858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pPr>
        <w:pStyle w:val="46"/>
        <w:jc w:val="center"/>
      </w:pPr>
    </w:p>
    <w:p>
      <w:pPr>
        <w:pStyle w:val="46"/>
        <w:jc w:val="cente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6"/>
              <w:spacing w:line="240" w:lineRule="auto"/>
              <w:jc w:val="distribute"/>
            </w:pPr>
            <w:r>
              <w:rPr>
                <w:rFonts w:hint="eastAsia"/>
              </w:rPr>
              <w:t>工程地点</w:t>
            </w:r>
          </w:p>
        </w:tc>
        <w:tc>
          <w:tcPr>
            <w:tcW w:w="475" w:type="dxa"/>
            <w:vAlign w:val="center"/>
          </w:tcPr>
          <w:p>
            <w:pPr>
              <w:pStyle w:val="46"/>
              <w:spacing w:line="240" w:lineRule="auto"/>
              <w:ind w:right="-31" w:rightChars="-15"/>
              <w:jc w:val="center"/>
            </w:pPr>
            <w:r>
              <w:rPr>
                <w:rFonts w:hint="eastAsia"/>
              </w:rPr>
              <w:t>：</w:t>
            </w:r>
          </w:p>
        </w:tc>
        <w:tc>
          <w:tcPr>
            <w:tcW w:w="4624" w:type="dxa"/>
            <w:tcBorders>
              <w:bottom w:val="single" w:color="auto" w:sz="4" w:space="0"/>
            </w:tcBorders>
            <w:vAlign w:val="center"/>
          </w:tcPr>
          <w:p>
            <w:pPr>
              <w:pStyle w:val="46"/>
              <w:spacing w:line="240" w:lineRule="auto"/>
              <w:jc w:val="center"/>
            </w:pPr>
            <w:bookmarkStart w:id="3" w:name="工程地点"/>
            <w:bookmarkStart w:id="4" w:name="项目地点"/>
            <w:r>
              <w:t>长春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6"/>
              <w:spacing w:line="240" w:lineRule="auto"/>
              <w:jc w:val="distribute"/>
            </w:pPr>
            <w:r>
              <w:rPr>
                <w:rFonts w:hint="eastAsia"/>
              </w:rPr>
              <w:t>建设单位</w:t>
            </w:r>
          </w:p>
        </w:tc>
        <w:tc>
          <w:tcPr>
            <w:tcW w:w="475" w:type="dxa"/>
            <w:vAlign w:val="center"/>
          </w:tcPr>
          <w:p>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pPr>
              <w:pStyle w:val="46"/>
              <w:spacing w:line="240" w:lineRule="auto"/>
              <w:jc w:val="center"/>
            </w:pPr>
            <w:bookmarkStart w:id="5"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6"/>
              <w:spacing w:line="240" w:lineRule="auto"/>
              <w:jc w:val="distribute"/>
            </w:pPr>
            <w:r>
              <w:rPr>
                <w:rFonts w:hint="eastAsia"/>
              </w:rPr>
              <w:t>设计单位</w:t>
            </w:r>
          </w:p>
        </w:tc>
        <w:tc>
          <w:tcPr>
            <w:tcW w:w="475" w:type="dxa"/>
            <w:vAlign w:val="center"/>
          </w:tcPr>
          <w:p>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pPr>
              <w:pStyle w:val="46"/>
              <w:spacing w:line="240" w:lineRule="auto"/>
              <w:jc w:val="center"/>
            </w:pPr>
            <w:bookmarkStart w:id="6" w:name="设计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6"/>
              <w:spacing w:line="240" w:lineRule="auto"/>
              <w:jc w:val="distribute"/>
            </w:pPr>
            <w:r>
              <w:rPr>
                <w:rFonts w:hint="eastAsia"/>
              </w:rPr>
              <w:t>设计人</w:t>
            </w:r>
          </w:p>
        </w:tc>
        <w:tc>
          <w:tcPr>
            <w:tcW w:w="475" w:type="dxa"/>
            <w:vAlign w:val="center"/>
          </w:tcPr>
          <w:p>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pPr>
              <w:pStyle w:val="46"/>
              <w:spacing w:line="240" w:lineRule="auto"/>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6"/>
              <w:spacing w:line="240" w:lineRule="auto"/>
              <w:jc w:val="distribute"/>
            </w:pPr>
            <w:r>
              <w:rPr>
                <w:rFonts w:hint="eastAsia"/>
              </w:rPr>
              <w:t>校对人</w:t>
            </w:r>
          </w:p>
        </w:tc>
        <w:tc>
          <w:tcPr>
            <w:tcW w:w="475" w:type="dxa"/>
            <w:vAlign w:val="center"/>
          </w:tcPr>
          <w:p>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pPr>
              <w:pStyle w:val="46"/>
              <w:spacing w:line="240" w:lineRule="auto"/>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6"/>
              <w:spacing w:line="240" w:lineRule="auto"/>
              <w:jc w:val="distribute"/>
            </w:pPr>
            <w:r>
              <w:rPr>
                <w:rFonts w:hint="eastAsia"/>
              </w:rPr>
              <w:t>审定人</w:t>
            </w:r>
          </w:p>
        </w:tc>
        <w:tc>
          <w:tcPr>
            <w:tcW w:w="475" w:type="dxa"/>
            <w:vAlign w:val="center"/>
          </w:tcPr>
          <w:p>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pPr>
              <w:pStyle w:val="46"/>
              <w:spacing w:line="240" w:lineRule="auto"/>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6"/>
              <w:spacing w:line="240" w:lineRule="auto"/>
              <w:jc w:val="distribute"/>
            </w:pPr>
            <w:r>
              <w:rPr>
                <w:rFonts w:hint="eastAsia"/>
              </w:rPr>
              <w:t>报告日期</w:t>
            </w:r>
          </w:p>
        </w:tc>
        <w:tc>
          <w:tcPr>
            <w:tcW w:w="475" w:type="dxa"/>
            <w:vAlign w:val="center"/>
          </w:tcPr>
          <w:p>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pPr>
              <w:pStyle w:val="46"/>
              <w:spacing w:line="240" w:lineRule="auto"/>
              <w:jc w:val="center"/>
            </w:pPr>
            <w:bookmarkStart w:id="7" w:name="报告日期"/>
            <w:r>
              <w:t>2026年01月02日</w:t>
            </w:r>
          </w:p>
        </w:tc>
      </w:tr>
    </w:tbl>
    <w:p/>
    <w:p>
      <w:pPr>
        <w:pStyle w:val="48"/>
      </w:pPr>
    </w:p>
    <w:tbl>
      <w:tblPr>
        <w:tblStyle w:val="22"/>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48"/>
              <w:rPr>
                <w:szCs w:val="18"/>
              </w:rPr>
            </w:pPr>
            <w:r>
              <w:rPr>
                <w:rFonts w:hint="eastAsia"/>
                <w:szCs w:val="18"/>
              </w:rPr>
              <w:t xml:space="preserve">: </w:t>
            </w:r>
            <w:bookmarkStart w:id="8" w:name="采用软件"/>
            <w:r>
              <w:rPr>
                <w:rFonts w:hint="eastAsia"/>
                <w:szCs w:val="18"/>
              </w:rPr>
              <w:t>建筑通风Vent2025</w:t>
            </w:r>
          </w:p>
        </w:tc>
        <w:tc>
          <w:tcPr>
            <w:tcW w:w="3958" w:type="dxa"/>
            <w:vMerge w:val="restart"/>
            <w:tcBorders>
              <w:top w:val="single" w:color="auto" w:sz="2" w:space="0"/>
              <w:left w:val="nil"/>
              <w:bottom w:val="nil"/>
              <w:right w:val="nil"/>
            </w:tcBorders>
            <w:vAlign w:val="bottom"/>
          </w:tcPr>
          <w:p>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pPr>
              <w:pStyle w:val="48"/>
            </w:pPr>
            <w:r>
              <w:rPr>
                <w:rFonts w:hint="eastAsia"/>
              </w:rPr>
              <w:t xml:space="preserve">: </w:t>
            </w:r>
            <w:bookmarkStart w:id="9" w:name="软件版本"/>
            <w:r>
              <w:rPr>
                <w:rFonts w:hint="eastAsia"/>
              </w:rPr>
              <w:t>20250505(PLUS)</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48"/>
              <w:rPr>
                <w:szCs w:val="18"/>
              </w:rPr>
            </w:pPr>
            <w:r>
              <w:rPr>
                <w:rFonts w:hint="eastAsia"/>
                <w:szCs w:val="18"/>
              </w:rPr>
              <w:t xml:space="preserve">: </w:t>
            </w:r>
            <w:bookmarkStart w:id="10" w:name="加密锁号"/>
            <w:r>
              <w:rPr>
                <w:rFonts w:hint="eastAsia"/>
                <w:szCs w:val="18"/>
              </w:rPr>
              <w:t>T18206557895</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bl>
    <w:p>
      <w:pPr>
        <w:jc w:val="center"/>
        <w:rPr>
          <w:b/>
          <w:bCs/>
          <w:sz w:val="32"/>
          <w:szCs w:val="32"/>
        </w:rPr>
      </w:pPr>
      <w:r>
        <w:rPr>
          <w:b/>
          <w:bCs/>
          <w:sz w:val="28"/>
          <w:szCs w:val="32"/>
        </w:rPr>
        <w:br w:type="page"/>
      </w:r>
      <w:r>
        <w:rPr>
          <w:rFonts w:hint="eastAsia"/>
          <w:b/>
          <w:bCs/>
          <w:sz w:val="28"/>
          <w:szCs w:val="32"/>
        </w:rPr>
        <w:t>目  录</w:t>
      </w:r>
    </w:p>
    <w:p>
      <w:pPr>
        <w:pStyle w:val="19"/>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_Toc28638 </w:instrText>
      </w:r>
      <w:r>
        <w:rPr>
          <w:caps/>
        </w:rPr>
        <w:fldChar w:fldCharType="separate"/>
      </w:r>
      <w:r>
        <w:rPr>
          <w:rFonts w:hint="eastAsia" w:ascii="微软雅黑" w:hAnsi="微软雅黑" w:eastAsia="微软雅黑"/>
        </w:rPr>
        <w:t xml:space="preserve">1 </w:t>
      </w:r>
      <w:r>
        <w:rPr>
          <w:rFonts w:hint="eastAsia" w:ascii="微软雅黑" w:hAnsi="微软雅黑"/>
        </w:rPr>
        <w:t>项目概况</w:t>
      </w:r>
      <w:r>
        <w:tab/>
      </w:r>
      <w:r>
        <w:fldChar w:fldCharType="begin"/>
      </w:r>
      <w:r>
        <w:instrText xml:space="preserve"> PAGEREF _Toc28638 </w:instrText>
      </w:r>
      <w:r>
        <w:fldChar w:fldCharType="separate"/>
      </w:r>
      <w:r>
        <w:t>3</w:t>
      </w:r>
      <w:r>
        <w:fldChar w:fldCharType="end"/>
      </w:r>
      <w:r>
        <w:rPr>
          <w:caps/>
        </w:rPr>
        <w:fldChar w:fldCharType="end"/>
      </w:r>
    </w:p>
    <w:p>
      <w:pPr>
        <w:pStyle w:val="20"/>
        <w:tabs>
          <w:tab w:val="right" w:leader="dot" w:pos="8306"/>
          <w:tab w:val="clear" w:pos="540"/>
          <w:tab w:val="clear" w:pos="840"/>
          <w:tab w:val="clear" w:pos="8222"/>
          <w:tab w:val="clear" w:pos="8296"/>
        </w:tabs>
      </w:pPr>
      <w:r>
        <w:fldChar w:fldCharType="begin"/>
      </w:r>
      <w:r>
        <w:instrText xml:space="preserve"> HYPERLINK \l _Toc2082 </w:instrText>
      </w:r>
      <w: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_Toc2082 </w:instrText>
      </w:r>
      <w:r>
        <w:fldChar w:fldCharType="separate"/>
      </w:r>
      <w:r>
        <w:t>3</w:t>
      </w:r>
      <w:r>
        <w:fldChar w:fldCharType="end"/>
      </w:r>
      <w:r>
        <w:fldChar w:fldCharType="end"/>
      </w:r>
    </w:p>
    <w:p>
      <w:pPr>
        <w:pStyle w:val="20"/>
        <w:tabs>
          <w:tab w:val="right" w:leader="dot" w:pos="8306"/>
          <w:tab w:val="clear" w:pos="540"/>
          <w:tab w:val="clear" w:pos="840"/>
          <w:tab w:val="clear" w:pos="8222"/>
          <w:tab w:val="clear" w:pos="8296"/>
        </w:tabs>
      </w:pPr>
      <w:r>
        <w:fldChar w:fldCharType="begin"/>
      </w:r>
      <w:r>
        <w:instrText xml:space="preserve"> HYPERLINK \l _Toc15739 </w:instrText>
      </w:r>
      <w: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_Toc15739 </w:instrText>
      </w:r>
      <w:r>
        <w:fldChar w:fldCharType="separate"/>
      </w:r>
      <w:r>
        <w:t>3</w:t>
      </w:r>
      <w:r>
        <w:fldChar w:fldCharType="end"/>
      </w:r>
      <w:r>
        <w:fldChar w:fldCharType="end"/>
      </w:r>
    </w:p>
    <w:p>
      <w:pPr>
        <w:pStyle w:val="19"/>
        <w:tabs>
          <w:tab w:val="right" w:leader="dot" w:pos="8306"/>
          <w:tab w:val="clear" w:pos="180"/>
          <w:tab w:val="clear" w:pos="420"/>
          <w:tab w:val="clear" w:pos="8222"/>
        </w:tabs>
      </w:pPr>
      <w:r>
        <w:fldChar w:fldCharType="begin"/>
      </w:r>
      <w:r>
        <w:instrText xml:space="preserve"> HYPERLINK \l _Toc21747 </w:instrText>
      </w:r>
      <w:r>
        <w:fldChar w:fldCharType="separate"/>
      </w:r>
      <w:r>
        <w:rPr>
          <w:rFonts w:hint="eastAsia" w:ascii="微软雅黑" w:hAnsi="微软雅黑" w:eastAsia="微软雅黑"/>
        </w:rPr>
        <w:t xml:space="preserve">2 </w:t>
      </w:r>
      <w:r>
        <w:rPr>
          <w:rFonts w:hint="eastAsia" w:ascii="微软雅黑" w:hAnsi="微软雅黑"/>
        </w:rPr>
        <w:t>计算</w:t>
      </w:r>
      <w:r>
        <w:rPr>
          <w:rFonts w:ascii="微软雅黑" w:hAnsi="微软雅黑"/>
        </w:rPr>
        <w:t>依据</w:t>
      </w:r>
      <w:r>
        <w:tab/>
      </w:r>
      <w:r>
        <w:fldChar w:fldCharType="begin"/>
      </w:r>
      <w:r>
        <w:instrText xml:space="preserve"> PAGEREF _Toc21747 </w:instrText>
      </w:r>
      <w:r>
        <w:fldChar w:fldCharType="separate"/>
      </w:r>
      <w:r>
        <w:t>4</w:t>
      </w:r>
      <w:r>
        <w:fldChar w:fldCharType="end"/>
      </w:r>
      <w:r>
        <w:fldChar w:fldCharType="end"/>
      </w:r>
    </w:p>
    <w:p>
      <w:pPr>
        <w:pStyle w:val="19"/>
        <w:tabs>
          <w:tab w:val="right" w:leader="dot" w:pos="8306"/>
          <w:tab w:val="clear" w:pos="180"/>
          <w:tab w:val="clear" w:pos="420"/>
          <w:tab w:val="clear" w:pos="8222"/>
        </w:tabs>
      </w:pPr>
      <w:r>
        <w:fldChar w:fldCharType="begin"/>
      </w:r>
      <w:r>
        <w:instrText xml:space="preserve"> HYPERLINK \l _Toc4653 </w:instrText>
      </w:r>
      <w:r>
        <w:fldChar w:fldCharType="separate"/>
      </w:r>
      <w:r>
        <w:rPr>
          <w:rFonts w:hint="eastAsia" w:ascii="微软雅黑" w:hAnsi="微软雅黑" w:eastAsia="微软雅黑"/>
        </w:rPr>
        <w:t xml:space="preserve">3 </w:t>
      </w:r>
      <w:r>
        <w:rPr>
          <w:rFonts w:hint="eastAsia" w:ascii="微软雅黑" w:hAnsi="微软雅黑"/>
        </w:rPr>
        <w:t>参考</w:t>
      </w:r>
      <w:r>
        <w:rPr>
          <w:rFonts w:ascii="微软雅黑" w:hAnsi="微软雅黑"/>
        </w:rPr>
        <w:t>标准</w:t>
      </w:r>
      <w:r>
        <w:tab/>
      </w:r>
      <w:r>
        <w:fldChar w:fldCharType="begin"/>
      </w:r>
      <w:r>
        <w:instrText xml:space="preserve"> PAGEREF _Toc4653 </w:instrText>
      </w:r>
      <w:r>
        <w:fldChar w:fldCharType="separate"/>
      </w:r>
      <w:r>
        <w:t>5</w:t>
      </w:r>
      <w:r>
        <w:fldChar w:fldCharType="end"/>
      </w:r>
      <w:r>
        <w:fldChar w:fldCharType="end"/>
      </w:r>
    </w:p>
    <w:p>
      <w:pPr>
        <w:pStyle w:val="19"/>
        <w:tabs>
          <w:tab w:val="right" w:leader="dot" w:pos="8306"/>
          <w:tab w:val="clear" w:pos="180"/>
          <w:tab w:val="clear" w:pos="420"/>
          <w:tab w:val="clear" w:pos="8222"/>
        </w:tabs>
      </w:pPr>
      <w:r>
        <w:fldChar w:fldCharType="begin"/>
      </w:r>
      <w:r>
        <w:instrText xml:space="preserve"> HYPERLINK \l _Toc4363 </w:instrText>
      </w:r>
      <w:r>
        <w:fldChar w:fldCharType="separate"/>
      </w:r>
      <w:r>
        <w:rPr>
          <w:rFonts w:hint="eastAsia" w:ascii="微软雅黑" w:hAnsi="微软雅黑" w:eastAsia="微软雅黑"/>
        </w:rPr>
        <w:t xml:space="preserve">4 </w:t>
      </w:r>
      <w:r>
        <w:rPr>
          <w:rFonts w:hint="eastAsia" w:ascii="微软雅黑" w:hAnsi="微软雅黑"/>
        </w:rPr>
        <w:t>计算原理</w:t>
      </w:r>
      <w:r>
        <w:tab/>
      </w:r>
      <w:r>
        <w:fldChar w:fldCharType="begin"/>
      </w:r>
      <w:r>
        <w:instrText xml:space="preserve"> PAGEREF _Toc4363 </w:instrText>
      </w:r>
      <w:r>
        <w:fldChar w:fldCharType="separate"/>
      </w:r>
      <w:r>
        <w:t>5</w:t>
      </w:r>
      <w:r>
        <w:fldChar w:fldCharType="end"/>
      </w:r>
      <w:r>
        <w:fldChar w:fldCharType="end"/>
      </w:r>
    </w:p>
    <w:p>
      <w:pPr>
        <w:pStyle w:val="20"/>
        <w:tabs>
          <w:tab w:val="right" w:leader="dot" w:pos="8306"/>
          <w:tab w:val="clear" w:pos="540"/>
          <w:tab w:val="clear" w:pos="840"/>
          <w:tab w:val="clear" w:pos="8222"/>
          <w:tab w:val="clear" w:pos="8296"/>
        </w:tabs>
      </w:pPr>
      <w:r>
        <w:fldChar w:fldCharType="begin"/>
      </w:r>
      <w:r>
        <w:instrText xml:space="preserve"> HYPERLINK \l _Toc27777 </w:instrText>
      </w:r>
      <w: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_Toc27777 </w:instrText>
      </w:r>
      <w:r>
        <w:fldChar w:fldCharType="separate"/>
      </w:r>
      <w:r>
        <w:t>5</w:t>
      </w:r>
      <w:r>
        <w:fldChar w:fldCharType="end"/>
      </w:r>
      <w:r>
        <w:fldChar w:fldCharType="end"/>
      </w:r>
    </w:p>
    <w:p>
      <w:pPr>
        <w:pStyle w:val="20"/>
        <w:tabs>
          <w:tab w:val="right" w:leader="dot" w:pos="8306"/>
          <w:tab w:val="clear" w:pos="540"/>
          <w:tab w:val="clear" w:pos="840"/>
          <w:tab w:val="clear" w:pos="8222"/>
          <w:tab w:val="clear" w:pos="8296"/>
        </w:tabs>
      </w:pPr>
      <w:r>
        <w:fldChar w:fldCharType="begin"/>
      </w:r>
      <w:r>
        <w:instrText xml:space="preserve"> HYPERLINK \l _Toc7906 </w:instrText>
      </w:r>
      <w: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_Toc7906 </w:instrText>
      </w:r>
      <w:r>
        <w:fldChar w:fldCharType="separate"/>
      </w:r>
      <w:r>
        <w:t>6</w:t>
      </w:r>
      <w:r>
        <w:fldChar w:fldCharType="end"/>
      </w:r>
      <w:r>
        <w:fldChar w:fldCharType="end"/>
      </w:r>
    </w:p>
    <w:p>
      <w:pPr>
        <w:pStyle w:val="20"/>
        <w:tabs>
          <w:tab w:val="right" w:leader="dot" w:pos="8306"/>
          <w:tab w:val="clear" w:pos="540"/>
          <w:tab w:val="clear" w:pos="840"/>
          <w:tab w:val="clear" w:pos="8222"/>
          <w:tab w:val="clear" w:pos="8296"/>
        </w:tabs>
      </w:pPr>
      <w:r>
        <w:fldChar w:fldCharType="begin"/>
      </w:r>
      <w:r>
        <w:instrText xml:space="preserve"> HYPERLINK \l _Toc4769 </w:instrText>
      </w:r>
      <w: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_Toc4769 </w:instrText>
      </w:r>
      <w:r>
        <w:fldChar w:fldCharType="separate"/>
      </w:r>
      <w:r>
        <w:t>8</w:t>
      </w:r>
      <w:r>
        <w:fldChar w:fldCharType="end"/>
      </w:r>
      <w:r>
        <w:fldChar w:fldCharType="end"/>
      </w:r>
    </w:p>
    <w:p>
      <w:pPr>
        <w:pStyle w:val="20"/>
        <w:tabs>
          <w:tab w:val="right" w:leader="dot" w:pos="8306"/>
          <w:tab w:val="clear" w:pos="540"/>
          <w:tab w:val="clear" w:pos="840"/>
          <w:tab w:val="clear" w:pos="8222"/>
          <w:tab w:val="clear" w:pos="8296"/>
        </w:tabs>
      </w:pPr>
      <w:r>
        <w:fldChar w:fldCharType="begin"/>
      </w:r>
      <w:r>
        <w:instrText xml:space="preserve"> HYPERLINK \l _Toc19246 </w:instrText>
      </w:r>
      <w: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_Toc19246 </w:instrText>
      </w:r>
      <w:r>
        <w:fldChar w:fldCharType="separate"/>
      </w:r>
      <w:r>
        <w:t>10</w:t>
      </w:r>
      <w:r>
        <w:fldChar w:fldCharType="end"/>
      </w:r>
      <w:r>
        <w:fldChar w:fldCharType="end"/>
      </w:r>
    </w:p>
    <w:p>
      <w:pPr>
        <w:pStyle w:val="20"/>
        <w:tabs>
          <w:tab w:val="right" w:leader="dot" w:pos="8306"/>
          <w:tab w:val="clear" w:pos="540"/>
          <w:tab w:val="clear" w:pos="840"/>
          <w:tab w:val="clear" w:pos="8222"/>
          <w:tab w:val="clear" w:pos="8296"/>
        </w:tabs>
      </w:pPr>
      <w:r>
        <w:fldChar w:fldCharType="begin"/>
      </w:r>
      <w:r>
        <w:instrText xml:space="preserve"> HYPERLINK \l _Toc2268 </w:instrText>
      </w:r>
      <w: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_Toc2268 </w:instrText>
      </w:r>
      <w:r>
        <w:fldChar w:fldCharType="separate"/>
      </w:r>
      <w:r>
        <w:t>10</w:t>
      </w:r>
      <w:r>
        <w:fldChar w:fldCharType="end"/>
      </w:r>
      <w:r>
        <w:fldChar w:fldCharType="end"/>
      </w:r>
    </w:p>
    <w:p>
      <w:pPr>
        <w:pStyle w:val="20"/>
        <w:tabs>
          <w:tab w:val="right" w:leader="dot" w:pos="8306"/>
          <w:tab w:val="clear" w:pos="540"/>
          <w:tab w:val="clear" w:pos="840"/>
          <w:tab w:val="clear" w:pos="8222"/>
          <w:tab w:val="clear" w:pos="8296"/>
        </w:tabs>
      </w:pPr>
      <w:r>
        <w:fldChar w:fldCharType="begin"/>
      </w:r>
      <w:r>
        <w:instrText xml:space="preserve"> HYPERLINK \l _Toc29122 </w:instrText>
      </w:r>
      <w: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_Toc29122 </w:instrText>
      </w:r>
      <w:r>
        <w:fldChar w:fldCharType="separate"/>
      </w:r>
      <w:r>
        <w:t>11</w:t>
      </w:r>
      <w:r>
        <w:fldChar w:fldCharType="end"/>
      </w:r>
      <w:r>
        <w:fldChar w:fldCharType="end"/>
      </w:r>
    </w:p>
    <w:p>
      <w:pPr>
        <w:pStyle w:val="19"/>
        <w:tabs>
          <w:tab w:val="right" w:leader="dot" w:pos="8306"/>
          <w:tab w:val="clear" w:pos="180"/>
          <w:tab w:val="clear" w:pos="420"/>
          <w:tab w:val="clear" w:pos="8222"/>
        </w:tabs>
      </w:pPr>
      <w:r>
        <w:fldChar w:fldCharType="begin"/>
      </w:r>
      <w:r>
        <w:instrText xml:space="preserve"> HYPERLINK \l _Toc2416 </w:instrText>
      </w:r>
      <w:r>
        <w:fldChar w:fldCharType="separate"/>
      </w:r>
      <w:r>
        <w:rPr>
          <w:rFonts w:hint="eastAsia" w:ascii="微软雅黑" w:hAnsi="微软雅黑" w:eastAsia="微软雅黑"/>
        </w:rPr>
        <w:t xml:space="preserve">5 </w:t>
      </w:r>
      <w:r>
        <w:rPr>
          <w:rFonts w:hint="eastAsia" w:ascii="微软雅黑" w:hAnsi="微软雅黑"/>
        </w:rPr>
        <w:t>结果</w:t>
      </w:r>
      <w:r>
        <w:rPr>
          <w:rFonts w:ascii="微软雅黑" w:hAnsi="微软雅黑"/>
        </w:rPr>
        <w:t>分析</w:t>
      </w:r>
      <w:r>
        <w:tab/>
      </w:r>
      <w:r>
        <w:fldChar w:fldCharType="begin"/>
      </w:r>
      <w:r>
        <w:instrText xml:space="preserve"> PAGEREF _Toc2416 </w:instrText>
      </w:r>
      <w:r>
        <w:fldChar w:fldCharType="separate"/>
      </w:r>
      <w:r>
        <w:t>12</w:t>
      </w:r>
      <w:r>
        <w:fldChar w:fldCharType="end"/>
      </w:r>
      <w:r>
        <w:fldChar w:fldCharType="end"/>
      </w:r>
    </w:p>
    <w:p>
      <w:pPr>
        <w:pStyle w:val="20"/>
        <w:tabs>
          <w:tab w:val="right" w:leader="dot" w:pos="8306"/>
          <w:tab w:val="clear" w:pos="540"/>
          <w:tab w:val="clear" w:pos="840"/>
          <w:tab w:val="clear" w:pos="8222"/>
          <w:tab w:val="clear" w:pos="8296"/>
        </w:tabs>
      </w:pPr>
      <w:r>
        <w:fldChar w:fldCharType="begin"/>
      </w:r>
      <w:r>
        <w:instrText xml:space="preserve"> HYPERLINK \l _Toc25271 </w:instrText>
      </w:r>
      <w:r>
        <w:fldChar w:fldCharType="separate"/>
      </w:r>
      <w:r>
        <w:rPr>
          <w:rFonts w:hint="eastAsia" w:ascii="微软雅黑" w:hAnsi="微软雅黑" w:eastAsia="微软雅黑"/>
          <w:szCs w:val="21"/>
          <w:lang w:val="en-GB"/>
        </w:rPr>
        <w:t xml:space="preserve">5.1 </w:t>
      </w:r>
      <w:r>
        <w:rPr>
          <w:rFonts w:hint="eastAsia"/>
          <w:szCs w:val="21"/>
        </w:rPr>
        <w:t>工况</w:t>
      </w:r>
      <w:r>
        <w:rPr>
          <w:szCs w:val="21"/>
        </w:rPr>
        <w:t>表</w:t>
      </w:r>
      <w:r>
        <w:tab/>
      </w:r>
      <w:r>
        <w:fldChar w:fldCharType="begin"/>
      </w:r>
      <w:r>
        <w:instrText xml:space="preserve"> PAGEREF _Toc25271 </w:instrText>
      </w:r>
      <w:r>
        <w:fldChar w:fldCharType="separate"/>
      </w:r>
      <w:r>
        <w:t>12</w:t>
      </w:r>
      <w:r>
        <w:fldChar w:fldCharType="end"/>
      </w:r>
      <w:r>
        <w:fldChar w:fldCharType="end"/>
      </w:r>
    </w:p>
    <w:p>
      <w:pPr>
        <w:pStyle w:val="20"/>
        <w:tabs>
          <w:tab w:val="right" w:leader="dot" w:pos="8306"/>
          <w:tab w:val="clear" w:pos="540"/>
          <w:tab w:val="clear" w:pos="840"/>
          <w:tab w:val="clear" w:pos="8222"/>
          <w:tab w:val="clear" w:pos="8296"/>
        </w:tabs>
      </w:pPr>
      <w:r>
        <w:fldChar w:fldCharType="begin"/>
      </w:r>
      <w:r>
        <w:instrText xml:space="preserve"> HYPERLINK \l _Toc28571 </w:instrText>
      </w:r>
      <w:r>
        <w:fldChar w:fldCharType="separate"/>
      </w:r>
      <w:r>
        <w:rPr>
          <w:rFonts w:hint="eastAsia" w:ascii="微软雅黑" w:hAnsi="微软雅黑" w:eastAsia="微软雅黑"/>
          <w:lang w:val="en-GB"/>
        </w:rPr>
        <w:t xml:space="preserve">5.2 </w:t>
      </w:r>
      <w:r>
        <w:rPr>
          <w:rFonts w:hint="eastAsia"/>
        </w:rPr>
        <w:t>夏季工况</w:t>
      </w:r>
      <w:r>
        <w:tab/>
      </w:r>
      <w:r>
        <w:fldChar w:fldCharType="begin"/>
      </w:r>
      <w:r>
        <w:instrText xml:space="preserve"> PAGEREF _Toc28571 </w:instrText>
      </w:r>
      <w:r>
        <w:fldChar w:fldCharType="separate"/>
      </w:r>
      <w:r>
        <w:t>12</w:t>
      </w:r>
      <w:r>
        <w:fldChar w:fldCharType="end"/>
      </w:r>
      <w:r>
        <w:fldChar w:fldCharType="end"/>
      </w:r>
    </w:p>
    <w:p>
      <w:pPr>
        <w:pStyle w:val="19"/>
        <w:tabs>
          <w:tab w:val="right" w:leader="dot" w:pos="8306"/>
          <w:tab w:val="clear" w:pos="180"/>
          <w:tab w:val="clear" w:pos="420"/>
          <w:tab w:val="clear" w:pos="8222"/>
        </w:tabs>
      </w:pPr>
      <w:r>
        <w:fldChar w:fldCharType="begin"/>
      </w:r>
      <w:r>
        <w:instrText xml:space="preserve"> HYPERLINK \l _Toc20918 </w:instrText>
      </w:r>
      <w: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_Toc20918 </w:instrText>
      </w:r>
      <w:r>
        <w:fldChar w:fldCharType="separate"/>
      </w:r>
      <w:r>
        <w:t>16</w:t>
      </w:r>
      <w:r>
        <w:fldChar w:fldCharType="end"/>
      </w:r>
      <w:r>
        <w:fldChar w:fldCharType="end"/>
      </w:r>
    </w:p>
    <w:p>
      <w:pPr>
        <w:pStyle w:val="20"/>
        <w:tabs>
          <w:tab w:val="right" w:leader="dot" w:pos="8306"/>
          <w:tab w:val="clear" w:pos="540"/>
          <w:tab w:val="clear" w:pos="840"/>
          <w:tab w:val="clear" w:pos="8222"/>
          <w:tab w:val="clear" w:pos="8296"/>
        </w:tabs>
      </w:pPr>
      <w:r>
        <w:fldChar w:fldCharType="begin"/>
      </w:r>
      <w:r>
        <w:instrText xml:space="preserve"> HYPERLINK \l _Toc22591 </w:instrText>
      </w:r>
      <w:r>
        <w:fldChar w:fldCharType="separate"/>
      </w:r>
      <w:r>
        <w:rPr>
          <w:rFonts w:hint="eastAsia" w:ascii="微软雅黑" w:hAnsi="微软雅黑" w:eastAsia="微软雅黑"/>
          <w:lang w:val="en-GB"/>
        </w:rPr>
        <w:t xml:space="preserve">6.1 </w:t>
      </w:r>
      <w:r>
        <w:rPr>
          <w:rFonts w:hint="eastAsia"/>
        </w:rPr>
        <w:t>过渡季、夏季工况达标判断</w:t>
      </w:r>
      <w:r>
        <w:tab/>
      </w:r>
      <w:r>
        <w:fldChar w:fldCharType="begin"/>
      </w:r>
      <w:r>
        <w:instrText xml:space="preserve"> PAGEREF _Toc22591 </w:instrText>
      </w:r>
      <w:r>
        <w:fldChar w:fldCharType="separate"/>
      </w:r>
      <w:r>
        <w:t>16</w:t>
      </w:r>
      <w:r>
        <w:fldChar w:fldCharType="end"/>
      </w:r>
      <w:r>
        <w:fldChar w:fldCharType="end"/>
      </w:r>
    </w:p>
    <w:p>
      <w:pPr>
        <w:pStyle w:val="19"/>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fldChar w:fldCharType="end"/>
      </w:r>
    </w:p>
    <w:p>
      <w:pPr>
        <w:pStyle w:val="2"/>
        <w:rPr>
          <w:rFonts w:ascii="微软雅黑" w:hAnsi="微软雅黑"/>
        </w:rPr>
      </w:pPr>
      <w:bookmarkStart w:id="12" w:name="_Toc28638"/>
      <w:bookmarkStart w:id="13" w:name="_Toc452108759"/>
      <w:r>
        <w:rPr>
          <w:rFonts w:hint="eastAsia" w:ascii="微软雅黑" w:hAnsi="微软雅黑"/>
        </w:rPr>
        <w:t>项目概况</w:t>
      </w:r>
      <w:bookmarkEnd w:id="12"/>
    </w:p>
    <w:p>
      <w:pPr>
        <w:ind w:firstLine="424" w:firstLineChars="202"/>
        <w:rPr>
          <w:lang w:val="en-US"/>
        </w:rPr>
      </w:pPr>
      <w:bookmarkStart w:id="14" w:name="项目概况"/>
    </w:p>
    <w:p>
      <w:pPr>
        <w:pStyle w:val="3"/>
        <w:ind w:firstLine="420"/>
        <w:rPr>
          <w:rFonts w:ascii="微软雅黑" w:hAnsi="微软雅黑" w:eastAsia="微软雅黑"/>
          <w:lang w:val="en-US"/>
        </w:rPr>
      </w:pPr>
    </w:p>
    <w:p>
      <w:pPr>
        <w:pStyle w:val="4"/>
      </w:pPr>
      <w:bookmarkStart w:id="15" w:name="_Toc2082"/>
      <w:bookmarkStart w:id="16" w:name="_Toc452108760"/>
      <w:r>
        <w:rPr>
          <w:rFonts w:hint="eastAsia"/>
        </w:rPr>
        <w:t>总</w:t>
      </w:r>
      <w:r>
        <w:t>平面图</w:t>
      </w:r>
      <w:bookmarkEnd w:id="1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pPr>
              <w:pStyle w:val="3"/>
              <w:spacing w:line="240" w:lineRule="auto"/>
              <w:ind w:firstLine="0" w:firstLineChars="0"/>
              <w:jc w:val="center"/>
              <w:rPr>
                <w:rFonts w:ascii="微软雅黑" w:hAnsi="微软雅黑" w:eastAsia="微软雅黑"/>
                <w:lang w:val="en-US"/>
              </w:rPr>
            </w:pPr>
          </w:p>
        </w:tc>
        <w:tc>
          <w:tcPr>
            <w:tcW w:w="1185"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pPr>
              <w:pStyle w:val="3"/>
              <w:spacing w:line="220" w:lineRule="exact"/>
              <w:ind w:firstLine="0" w:firstLineChars="0"/>
              <w:jc w:val="center"/>
              <w:rPr>
                <w:rFonts w:ascii="微软雅黑" w:hAnsi="微软雅黑" w:eastAsia="微软雅黑"/>
                <w:lang w:val="en-US"/>
              </w:rPr>
            </w:pPr>
          </w:p>
        </w:tc>
        <w:tc>
          <w:tcPr>
            <w:tcW w:w="140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pPr>
              <w:pStyle w:val="3"/>
              <w:spacing w:line="240" w:lineRule="auto"/>
              <w:ind w:firstLine="0" w:firstLineChars="0"/>
              <w:jc w:val="center"/>
              <w:rPr>
                <w:rFonts w:ascii="微软雅黑" w:hAnsi="微软雅黑" w:eastAsia="微软雅黑"/>
                <w:lang w:val="en-US"/>
              </w:rPr>
            </w:pPr>
          </w:p>
        </w:tc>
        <w:tc>
          <w:tcPr>
            <w:tcW w:w="140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pPr>
              <w:pStyle w:val="3"/>
              <w:spacing w:line="240" w:lineRule="auto"/>
              <w:ind w:firstLine="0" w:firstLineChars="0"/>
              <w:jc w:val="center"/>
              <w:rPr>
                <w:rFonts w:ascii="微软雅黑" w:hAnsi="微软雅黑" w:eastAsia="微软雅黑"/>
                <w:lang w:val="en-US"/>
              </w:rPr>
            </w:pPr>
          </w:p>
        </w:tc>
        <w:tc>
          <w:tcPr>
            <w:tcW w:w="1266"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pPr>
              <w:pStyle w:val="3"/>
              <w:spacing w:line="240" w:lineRule="auto"/>
              <w:ind w:firstLine="0" w:firstLineChars="0"/>
              <w:jc w:val="center"/>
              <w:rPr>
                <w:rFonts w:ascii="微软雅黑" w:hAnsi="微软雅黑" w:eastAsia="微软雅黑"/>
                <w:lang w:val="en-US"/>
              </w:rPr>
            </w:pPr>
          </w:p>
        </w:tc>
        <w:tc>
          <w:tcPr>
            <w:tcW w:w="1185"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pPr>
              <w:pStyle w:val="3"/>
              <w:spacing w:line="220" w:lineRule="exact"/>
              <w:ind w:firstLine="0" w:firstLineChars="0"/>
              <w:jc w:val="center"/>
              <w:rPr>
                <w:rFonts w:ascii="微软雅黑" w:hAnsi="微软雅黑" w:eastAsia="微软雅黑"/>
                <w:lang w:val="en-US"/>
              </w:rPr>
            </w:pPr>
          </w:p>
        </w:tc>
        <w:tc>
          <w:tcPr>
            <w:tcW w:w="140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pPr>
              <w:pStyle w:val="3"/>
              <w:spacing w:line="240" w:lineRule="auto"/>
              <w:ind w:firstLine="0" w:firstLineChars="0"/>
              <w:jc w:val="center"/>
              <w:rPr>
                <w:rFonts w:ascii="微软雅黑" w:hAnsi="微软雅黑" w:eastAsia="微软雅黑"/>
                <w:lang w:val="en-US"/>
              </w:rPr>
            </w:pPr>
          </w:p>
        </w:tc>
        <w:tc>
          <w:tcPr>
            <w:tcW w:w="140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pPr>
              <w:pStyle w:val="3"/>
              <w:spacing w:line="240" w:lineRule="auto"/>
              <w:ind w:firstLine="0" w:firstLineChars="0"/>
              <w:jc w:val="center"/>
              <w:rPr>
                <w:rFonts w:ascii="微软雅黑" w:hAnsi="微软雅黑" w:eastAsia="微软雅黑"/>
                <w:lang w:val="en-US"/>
              </w:rPr>
            </w:pPr>
          </w:p>
        </w:tc>
        <w:tc>
          <w:tcPr>
            <w:tcW w:w="1266" w:type="dxa"/>
            <w:vAlign w:val="center"/>
          </w:tcPr>
          <w:p>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pPr>
        <w:pStyle w:val="3"/>
        <w:ind w:firstLine="0" w:firstLineChars="0"/>
        <w:jc w:val="center"/>
        <w:rPr>
          <w:rFonts w:ascii="微软雅黑" w:hAnsi="微软雅黑" w:eastAsia="微软雅黑"/>
          <w:lang w:val="en-US"/>
        </w:rPr>
      </w:pPr>
    </w:p>
    <w:p>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r>
        <w:drawing>
          <wp:inline distT="0" distB="0" distL="0" distR="0">
            <wp:extent cx="5667375" cy="3400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0"/>
                    <a:stretch>
                      <a:fillRect/>
                    </a:stretch>
                  </pic:blipFill>
                  <pic:spPr>
                    <a:xfrm>
                      <a:off x="0" y="0"/>
                      <a:ext cx="5667375" cy="3400425"/>
                    </a:xfrm>
                    <a:prstGeom prst="rect">
                      <a:avLst/>
                    </a:prstGeom>
                  </pic:spPr>
                </pic:pic>
              </a:graphicData>
            </a:graphic>
          </wp:inline>
        </w:drawing>
      </w:r>
    </w:p>
    <w:p>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总平面图</w:t>
      </w:r>
    </w:p>
    <w:p>
      <w:pPr>
        <w:pStyle w:val="3"/>
        <w:ind w:firstLine="420"/>
        <w:rPr>
          <w:rFonts w:ascii="微软雅黑" w:hAnsi="微软雅黑" w:eastAsia="微软雅黑"/>
          <w:lang w:val="en-US"/>
        </w:rPr>
      </w:pPr>
    </w:p>
    <w:p>
      <w:pPr>
        <w:pStyle w:val="4"/>
      </w:pPr>
      <w:bookmarkStart w:id="18" w:name="_Toc15739"/>
      <w:bookmarkStart w:id="19" w:name="_Toc452108761"/>
      <w:r>
        <w:rPr>
          <w:rFonts w:hint="eastAsia"/>
        </w:rPr>
        <w:t>三</w:t>
      </w:r>
      <w:r>
        <w:t>维视图</w:t>
      </w:r>
      <w:bookmarkEnd w:id="1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pPr>
              <w:pStyle w:val="3"/>
              <w:spacing w:line="240" w:lineRule="auto"/>
              <w:ind w:firstLine="0" w:firstLineChars="0"/>
              <w:jc w:val="center"/>
              <w:rPr>
                <w:rFonts w:ascii="微软雅黑" w:hAnsi="微软雅黑" w:eastAsia="微软雅黑"/>
                <w:lang w:val="en-US"/>
              </w:rPr>
            </w:pPr>
          </w:p>
        </w:tc>
        <w:tc>
          <w:tcPr>
            <w:tcW w:w="1185"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pPr>
              <w:pStyle w:val="3"/>
              <w:spacing w:line="220" w:lineRule="exact"/>
              <w:ind w:firstLine="0" w:firstLineChars="0"/>
              <w:jc w:val="center"/>
              <w:rPr>
                <w:rFonts w:ascii="微软雅黑" w:hAnsi="微软雅黑" w:eastAsia="微软雅黑"/>
                <w:lang w:val="en-US"/>
              </w:rPr>
            </w:pPr>
          </w:p>
        </w:tc>
        <w:tc>
          <w:tcPr>
            <w:tcW w:w="140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pPr>
              <w:pStyle w:val="3"/>
              <w:spacing w:line="240" w:lineRule="auto"/>
              <w:ind w:firstLine="0" w:firstLineChars="0"/>
              <w:jc w:val="center"/>
              <w:rPr>
                <w:rFonts w:ascii="微软雅黑" w:hAnsi="微软雅黑" w:eastAsia="微软雅黑"/>
                <w:lang w:val="en-US"/>
              </w:rPr>
            </w:pPr>
          </w:p>
        </w:tc>
        <w:tc>
          <w:tcPr>
            <w:tcW w:w="140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pPr>
              <w:pStyle w:val="3"/>
              <w:spacing w:line="240" w:lineRule="auto"/>
              <w:ind w:firstLine="0" w:firstLineChars="0"/>
              <w:jc w:val="center"/>
              <w:rPr>
                <w:rFonts w:ascii="微软雅黑" w:hAnsi="微软雅黑" w:eastAsia="微软雅黑"/>
                <w:lang w:val="en-US"/>
              </w:rPr>
            </w:pPr>
          </w:p>
        </w:tc>
        <w:tc>
          <w:tcPr>
            <w:tcW w:w="1266"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pPr>
              <w:pStyle w:val="3"/>
              <w:spacing w:line="240" w:lineRule="auto"/>
              <w:ind w:firstLine="0" w:firstLineChars="0"/>
              <w:jc w:val="center"/>
              <w:rPr>
                <w:rFonts w:ascii="微软雅黑" w:hAnsi="微软雅黑" w:eastAsia="微软雅黑"/>
                <w:lang w:val="en-US"/>
              </w:rPr>
            </w:pPr>
          </w:p>
        </w:tc>
        <w:tc>
          <w:tcPr>
            <w:tcW w:w="1185"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pPr>
              <w:pStyle w:val="3"/>
              <w:spacing w:line="220" w:lineRule="exact"/>
              <w:ind w:firstLine="0" w:firstLineChars="0"/>
              <w:jc w:val="center"/>
              <w:rPr>
                <w:rFonts w:ascii="微软雅黑" w:hAnsi="微软雅黑" w:eastAsia="微软雅黑"/>
                <w:lang w:val="en-US"/>
              </w:rPr>
            </w:pPr>
          </w:p>
        </w:tc>
        <w:tc>
          <w:tcPr>
            <w:tcW w:w="140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pPr>
              <w:pStyle w:val="3"/>
              <w:spacing w:line="240" w:lineRule="auto"/>
              <w:ind w:firstLine="0" w:firstLineChars="0"/>
              <w:jc w:val="center"/>
              <w:rPr>
                <w:rFonts w:ascii="微软雅黑" w:hAnsi="微软雅黑" w:eastAsia="微软雅黑"/>
                <w:lang w:val="en-US"/>
              </w:rPr>
            </w:pPr>
          </w:p>
        </w:tc>
        <w:tc>
          <w:tcPr>
            <w:tcW w:w="140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pPr>
              <w:pStyle w:val="3"/>
              <w:spacing w:line="240" w:lineRule="auto"/>
              <w:ind w:firstLine="0" w:firstLineChars="0"/>
              <w:jc w:val="center"/>
              <w:rPr>
                <w:rFonts w:ascii="微软雅黑" w:hAnsi="微软雅黑" w:eastAsia="微软雅黑"/>
                <w:lang w:val="en-US"/>
              </w:rPr>
            </w:pPr>
          </w:p>
        </w:tc>
        <w:tc>
          <w:tcPr>
            <w:tcW w:w="1266" w:type="dxa"/>
            <w:vAlign w:val="center"/>
          </w:tcPr>
          <w:p>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pPr>
        <w:pStyle w:val="3"/>
        <w:ind w:firstLine="0" w:firstLineChars="0"/>
        <w:jc w:val="center"/>
        <w:rPr>
          <w:rFonts w:ascii="微软雅黑" w:hAnsi="微软雅黑" w:eastAsia="微软雅黑"/>
          <w:lang w:val="en-US"/>
        </w:rPr>
      </w:pPr>
    </w:p>
    <w:p>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r>
        <w:drawing>
          <wp:inline distT="0" distB="0" distL="0" distR="0">
            <wp:extent cx="5667375" cy="34099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3409950"/>
                    </a:xfrm>
                    <a:prstGeom prst="rect">
                      <a:avLst/>
                    </a:prstGeom>
                  </pic:spPr>
                </pic:pic>
              </a:graphicData>
            </a:graphic>
          </wp:inline>
        </w:drawing>
      </w:r>
    </w:p>
    <w:p>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三</w:t>
      </w:r>
      <w:r>
        <w:rPr>
          <w:rFonts w:ascii="微软雅黑" w:hAnsi="微软雅黑" w:eastAsia="微软雅黑"/>
        </w:rPr>
        <w:t>维</w:t>
      </w:r>
      <w:r>
        <w:rPr>
          <w:rFonts w:hint="eastAsia" w:ascii="微软雅黑" w:hAnsi="微软雅黑" w:eastAsia="微软雅黑"/>
        </w:rPr>
        <w:t>视图</w:t>
      </w:r>
    </w:p>
    <w:p>
      <w:pPr>
        <w:pStyle w:val="3"/>
        <w:ind w:firstLine="0" w:firstLineChars="0"/>
        <w:rPr>
          <w:rFonts w:ascii="微软雅黑" w:hAnsi="微软雅黑" w:eastAsia="微软雅黑"/>
          <w:lang w:val="en-US"/>
        </w:rPr>
      </w:pPr>
    </w:p>
    <w:p>
      <w:pPr>
        <w:pStyle w:val="2"/>
        <w:rPr>
          <w:rFonts w:ascii="微软雅黑" w:hAnsi="微软雅黑"/>
        </w:rPr>
      </w:pPr>
      <w:bookmarkStart w:id="21" w:name="_Toc21747"/>
      <w:bookmarkStart w:id="22" w:name="TitleFormat"/>
      <w:bookmarkStart w:id="23" w:name="_Toc452108762"/>
      <w:r>
        <w:rPr>
          <w:rFonts w:hint="eastAsia" w:ascii="微软雅黑" w:hAnsi="微软雅黑"/>
        </w:rPr>
        <w:t>计算</w:t>
      </w:r>
      <w:r>
        <w:rPr>
          <w:rFonts w:ascii="微软雅黑" w:hAnsi="微软雅黑"/>
        </w:rPr>
        <w:t>依据</w:t>
      </w:r>
      <w:bookmarkEnd w:id="21"/>
    </w:p>
    <w:p>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bookmarkEnd w:id="24"/>
    </w:p>
    <w:p>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pPr>
        <w:pStyle w:val="2"/>
        <w:rPr>
          <w:rFonts w:ascii="微软雅黑" w:hAnsi="微软雅黑"/>
        </w:rPr>
      </w:pPr>
      <w:bookmarkStart w:id="25" w:name="_Toc4653"/>
      <w:bookmarkStart w:id="26" w:name="_Toc452108763"/>
      <w:r>
        <w:rPr>
          <w:rFonts w:hint="eastAsia" w:ascii="微软雅黑" w:hAnsi="微软雅黑"/>
        </w:rPr>
        <w:t>参考</w:t>
      </w:r>
      <w:r>
        <w:rPr>
          <w:rFonts w:ascii="微软雅黑" w:hAnsi="微软雅黑"/>
        </w:rPr>
        <w:t>标准</w:t>
      </w:r>
      <w:bookmarkEnd w:id="25"/>
    </w:p>
    <w:p>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50378-2019（2024年版）中有关室外风环境的条目要求。具体要求如下：</w:t>
      </w:r>
    </w:p>
    <w:p>
      <w:pPr>
        <w:pStyle w:val="3"/>
        <w:ind w:firstLine="420"/>
        <w:rPr>
          <w:rFonts w:ascii="微软雅黑" w:hAnsi="微软雅黑" w:eastAsia="微软雅黑"/>
          <w:lang w:val="en-US"/>
        </w:rPr>
      </w:pPr>
      <w:bookmarkStart w:id="28" w:name="_Toc451698935"/>
      <w:bookmarkStart w:id="29" w:name="_Toc452108764"/>
      <w:bookmarkStart w:id="30" w:name="_Toc451436145"/>
      <w:r>
        <w:rPr>
          <w:rFonts w:ascii="微软雅黑" w:hAnsi="微软雅黑" w:eastAsia="微软雅黑"/>
          <w:lang w:val="en-US"/>
        </w:rPr>
        <w:t>8</w:t>
      </w:r>
      <w:r>
        <w:rPr>
          <w:rFonts w:hint="eastAsia" w:ascii="微软雅黑" w:hAnsi="微软雅黑" w:eastAsia="微软雅黑"/>
          <w:lang w:val="en-US"/>
        </w:rPr>
        <w:t>.2.</w:t>
      </w:r>
      <w:r>
        <w:rPr>
          <w:rFonts w:ascii="微软雅黑" w:hAnsi="微软雅黑" w:eastAsia="微软雅黑"/>
          <w:lang w:val="en-US"/>
        </w:rPr>
        <w:t>8</w:t>
      </w:r>
      <w:r>
        <w:rPr>
          <w:rFonts w:hint="eastAsia" w:ascii="微软雅黑" w:hAnsi="微软雅黑" w:eastAsia="微软雅黑"/>
          <w:lang w:val="en-US"/>
        </w:rPr>
        <w:t xml:space="preserve"> 场地内风环境有利于室外行走、活动舒适和建筑的自然通风，评价总分值为1</w:t>
      </w:r>
      <w:r>
        <w:rPr>
          <w:rFonts w:ascii="微软雅黑" w:hAnsi="微软雅黑" w:eastAsia="微软雅黑"/>
          <w:lang w:val="en-US"/>
        </w:rPr>
        <w:t>0</w:t>
      </w:r>
      <w:r>
        <w:rPr>
          <w:rFonts w:hint="eastAsia" w:ascii="微软雅黑" w:hAnsi="微软雅黑" w:eastAsia="微软雅黑"/>
          <w:lang w:val="en-US"/>
        </w:rPr>
        <w:t>分，并按下列规则分别评分并累计：</w:t>
      </w:r>
    </w:p>
    <w:p>
      <w:pPr>
        <w:pStyle w:val="3"/>
        <w:ind w:firstLine="420"/>
        <w:rPr>
          <w:rFonts w:ascii="微软雅黑" w:hAnsi="微软雅黑" w:eastAsia="微软雅黑"/>
          <w:lang w:val="en-US"/>
        </w:rPr>
      </w:pPr>
      <w:r>
        <w:rPr>
          <w:rFonts w:hint="eastAsia" w:ascii="微软雅黑" w:hAnsi="微软雅黑" w:eastAsia="微软雅黑"/>
          <w:lang w:val="en-US"/>
        </w:rPr>
        <w:t>1  在冬季典型风速和风向条件下，按下列规则分别评分并累计：</w:t>
      </w:r>
    </w:p>
    <w:p>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w:t>
      </w:r>
      <w:r>
        <w:rPr>
          <w:rFonts w:ascii="微软雅黑" w:hAnsi="微软雅黑" w:eastAsia="微软雅黑"/>
          <w:lang w:val="en-US"/>
        </w:rPr>
        <w:t>高</w:t>
      </w:r>
      <w:r>
        <w:rPr>
          <w:rFonts w:hint="eastAsia" w:ascii="微软雅黑" w:hAnsi="微软雅黑" w:eastAsia="微软雅黑"/>
          <w:lang w:val="en-US"/>
        </w:rPr>
        <w:t>1.5m处风速小于5m/s，户外休息区、儿童娱乐区风速小于2m/s，且室外风速放大系数小于2，得</w:t>
      </w:r>
      <w:bookmarkStart w:id="31" w:name="参考标准冬季风速得分"/>
      <w:r>
        <w:rPr>
          <w:rFonts w:ascii="微软雅黑" w:hAnsi="微软雅黑" w:eastAsia="微软雅黑"/>
          <w:lang w:val="en-US"/>
        </w:rPr>
        <w:t>3</w:t>
      </w:r>
      <w:bookmarkEnd w:id="31"/>
      <w:r>
        <w:rPr>
          <w:rFonts w:hint="eastAsia" w:ascii="微软雅黑" w:hAnsi="微软雅黑" w:eastAsia="微软雅黑"/>
          <w:lang w:val="en-US"/>
        </w:rPr>
        <w:t>分；</w:t>
      </w:r>
    </w:p>
    <w:p>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）除迎风第一排建筑外，建筑迎风面与背风面表面风压差不大于5Pa，得</w:t>
      </w:r>
      <w:bookmarkStart w:id="32" w:name="参考标准冬季风压得分"/>
      <w:r>
        <w:rPr>
          <w:rFonts w:ascii="微软雅黑" w:hAnsi="微软雅黑" w:eastAsia="微软雅黑"/>
          <w:lang w:val="en-US"/>
        </w:rPr>
        <w:t>2</w:t>
      </w:r>
      <w:bookmarkEnd w:id="32"/>
      <w:r>
        <w:rPr>
          <w:rFonts w:hint="eastAsia" w:ascii="微软雅黑" w:hAnsi="微软雅黑" w:eastAsia="微软雅黑"/>
          <w:lang w:val="en-US"/>
        </w:rPr>
        <w:t>分。</w:t>
      </w:r>
    </w:p>
    <w:p>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pPr>
        <w:pStyle w:val="3"/>
        <w:ind w:firstLine="420"/>
        <w:rPr>
          <w:rFonts w:ascii="微软雅黑" w:hAnsi="微软雅黑" w:eastAsia="微软雅黑"/>
          <w:lang w:val="en-US"/>
        </w:rPr>
      </w:pPr>
      <w:r>
        <w:rPr>
          <w:rFonts w:ascii="微软雅黑" w:hAnsi="微软雅黑" w:eastAsia="微软雅黑"/>
          <w:lang w:val="en-US"/>
        </w:rPr>
        <w:t>1</w:t>
      </w:r>
      <w:r>
        <w:rPr>
          <w:rFonts w:hint="eastAsia" w:ascii="微软雅黑" w:hAnsi="微软雅黑" w:eastAsia="微软雅黑"/>
          <w:lang w:val="en-US"/>
        </w:rPr>
        <w:t>）场地内人活动区不出现涡旋或无风区，得</w:t>
      </w:r>
      <w:bookmarkStart w:id="33" w:name="参考标准夏季风速得分"/>
      <w:r>
        <w:rPr>
          <w:rFonts w:ascii="微软雅黑" w:hAnsi="微软雅黑" w:eastAsia="微软雅黑"/>
          <w:lang w:val="en-US"/>
        </w:rPr>
        <w:t>3</w:t>
      </w:r>
      <w:bookmarkEnd w:id="33"/>
      <w:r>
        <w:rPr>
          <w:rFonts w:hint="eastAsia" w:ascii="微软雅黑" w:hAnsi="微软雅黑" w:eastAsia="微软雅黑"/>
          <w:lang w:val="en-US"/>
        </w:rPr>
        <w:t>分；</w:t>
      </w:r>
    </w:p>
    <w:p>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）50%以上可开启外窗室内外表面的风压差大于0.5Pa，得</w:t>
      </w:r>
      <w:bookmarkStart w:id="34" w:name="参考标准夏季风压得分"/>
      <w:r>
        <w:rPr>
          <w:rFonts w:ascii="微软雅黑" w:hAnsi="微软雅黑" w:eastAsia="微软雅黑"/>
          <w:lang w:val="en-US"/>
        </w:rPr>
        <w:t>2</w:t>
      </w:r>
      <w:bookmarkEnd w:id="34"/>
      <w:r>
        <w:rPr>
          <w:rFonts w:hint="eastAsia" w:ascii="微软雅黑" w:hAnsi="微软雅黑" w:eastAsia="微软雅黑"/>
          <w:lang w:val="en-US"/>
        </w:rPr>
        <w:t>分。</w:t>
      </w:r>
    </w:p>
    <w:p>
      <w:pPr>
        <w:pStyle w:val="2"/>
        <w:rPr>
          <w:rFonts w:ascii="微软雅黑" w:hAnsi="微软雅黑"/>
        </w:rPr>
      </w:pPr>
      <w:bookmarkStart w:id="35" w:name="_Toc4363"/>
      <w:r>
        <w:rPr>
          <w:rFonts w:hint="eastAsia" w:ascii="微软雅黑" w:hAnsi="微软雅黑"/>
        </w:rPr>
        <w:t>计算原理</w:t>
      </w:r>
      <w:bookmarkEnd w:id="28"/>
      <w:bookmarkEnd w:id="29"/>
      <w:bookmarkEnd w:id="35"/>
    </w:p>
    <w:p>
      <w:pPr>
        <w:pStyle w:val="4"/>
        <w:numPr>
          <w:ilvl w:val="1"/>
          <w:numId w:val="3"/>
        </w:numPr>
      </w:pPr>
      <w:bookmarkStart w:id="36" w:name="_Toc509844740"/>
      <w:bookmarkStart w:id="37" w:name="_Toc27777"/>
      <w:bookmarkStart w:id="38" w:name="_Toc452108765"/>
      <w:bookmarkStart w:id="39" w:name="_Toc451698937"/>
      <w:r>
        <w:rPr>
          <w:rFonts w:hint="eastAsia"/>
        </w:rPr>
        <w:t>风场计算域</w:t>
      </w:r>
      <w:bookmarkEnd w:id="36"/>
      <w:bookmarkEnd w:id="37"/>
    </w:p>
    <w:p>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pPr>
        <w:pStyle w:val="5"/>
        <w:numPr>
          <w:ilvl w:val="2"/>
          <w:numId w:val="4"/>
        </w:numPr>
      </w:pPr>
      <w:r>
        <w:rPr>
          <w:rFonts w:hint="eastAsia"/>
        </w:rPr>
        <w:t>夏季工况风场计算域</w:t>
      </w:r>
    </w:p>
    <w:p>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夏季工况风场计算域信息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tblPrEx>
          <w:tblCellMar>
            <w:top w:w="0" w:type="dxa"/>
            <w:left w:w="108" w:type="dxa"/>
            <w:bottom w:w="0" w:type="dxa"/>
            <w:right w:w="108" w:type="dxa"/>
          </w:tblCellMar>
        </w:tblPrEx>
        <w:trPr>
          <w:jc w:val="center"/>
        </w:trPr>
        <w:tc>
          <w:tcPr>
            <w:tcW w:w="2765" w:type="dxa"/>
          </w:tcPr>
          <w:p>
            <w:pPr>
              <w:jc w:val="center"/>
            </w:pPr>
            <w:r>
              <w:rPr>
                <w:rFonts w:hint="eastAsia"/>
              </w:rPr>
              <w:t>顺风方向尺寸（m）</w:t>
            </w:r>
          </w:p>
        </w:tc>
        <w:tc>
          <w:tcPr>
            <w:tcW w:w="2765" w:type="dxa"/>
          </w:tcPr>
          <w:p>
            <w:pPr>
              <w:jc w:val="center"/>
            </w:pPr>
            <w:r>
              <w:rPr>
                <w:rFonts w:hint="eastAsia"/>
              </w:rPr>
              <w:t>宽度方向尺寸（m）</w:t>
            </w:r>
          </w:p>
        </w:tc>
        <w:tc>
          <w:tcPr>
            <w:tcW w:w="2766" w:type="dxa"/>
          </w:tcPr>
          <w:p>
            <w:pPr>
              <w:jc w:val="center"/>
            </w:pPr>
            <w:r>
              <w:rPr>
                <w:rFonts w:hint="eastAsia"/>
              </w:rPr>
              <w:t>高度方向尺寸（m）</w:t>
            </w:r>
          </w:p>
        </w:tc>
      </w:tr>
      <w:tr>
        <w:tblPrEx>
          <w:tblCellMar>
            <w:top w:w="0" w:type="dxa"/>
            <w:left w:w="108" w:type="dxa"/>
            <w:bottom w:w="0" w:type="dxa"/>
            <w:right w:w="108" w:type="dxa"/>
          </w:tblCellMar>
        </w:tblPrEx>
        <w:trPr>
          <w:jc w:val="center"/>
        </w:trPr>
        <w:tc>
          <w:tcPr>
            <w:tcW w:w="2765" w:type="dxa"/>
          </w:tcPr>
          <w:p>
            <w:pPr>
              <w:jc w:val="center"/>
            </w:pPr>
            <w:r>
              <w:t>296</w:t>
            </w:r>
          </w:p>
        </w:tc>
        <w:tc>
          <w:tcPr>
            <w:tcW w:w="2765" w:type="dxa"/>
          </w:tcPr>
          <w:p>
            <w:pPr>
              <w:jc w:val="center"/>
            </w:pPr>
            <w:r>
              <w:t>223</w:t>
            </w:r>
          </w:p>
        </w:tc>
        <w:tc>
          <w:tcPr>
            <w:tcW w:w="2766" w:type="dxa"/>
          </w:tcPr>
          <w:p>
            <w:pPr>
              <w:jc w:val="center"/>
            </w:pPr>
            <w:r>
              <w:t>105</w:t>
            </w:r>
          </w:p>
        </w:tc>
      </w:tr>
    </w:tbl>
    <w:p>
      <w:pPr>
        <w:pStyle w:val="3"/>
        <w:ind w:firstLine="0" w:firstLineChars="0"/>
        <w:jc w:val="center"/>
        <w:rPr>
          <w:rFonts w:ascii="微软雅黑" w:hAnsi="微软雅黑" w:eastAsia="微软雅黑"/>
          <w:lang w:val="en-US"/>
        </w:rPr>
      </w:pPr>
      <w:r>
        <w:drawing>
          <wp:inline distT="0" distB="0" distL="0" distR="0">
            <wp:extent cx="5667375" cy="32480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2"/>
                    <a:stretch>
                      <a:fillRect/>
                    </a:stretch>
                  </pic:blipFill>
                  <pic:spPr>
                    <a:xfrm>
                      <a:off x="0" y="0"/>
                      <a:ext cx="5667375" cy="3248025"/>
                    </a:xfrm>
                    <a:prstGeom prst="rect">
                      <a:avLst/>
                    </a:prstGeom>
                  </pic:spPr>
                </pic:pic>
              </a:graphicData>
            </a:graphic>
          </wp:inline>
        </w:drawing>
      </w:r>
    </w:p>
    <w:p>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夏季工况风场计算域图示</w:t>
      </w:r>
      <w:r>
        <w:rPr>
          <w:rFonts w:hint="eastAsia" w:ascii="微软雅黑" w:hAnsi="微软雅黑" w:eastAsia="微软雅黑"/>
          <w:sz w:val="18"/>
          <w:szCs w:val="18"/>
          <w:lang w:val="en-US"/>
        </w:rPr>
        <w:t xml:space="preserve"> </w:t>
      </w:r>
    </w:p>
    <w:p>
      <w:pPr>
        <w:pStyle w:val="3"/>
        <w:ind w:firstLine="315" w:firstLineChars="150"/>
        <w:rPr>
          <w:rFonts w:ascii="微软雅黑" w:hAnsi="微软雅黑" w:eastAsia="微软雅黑"/>
          <w:lang w:val="en-US"/>
        </w:rPr>
      </w:pPr>
      <w:bookmarkStart w:id="40" w:name="计算域"/>
      <w:bookmarkEnd w:id="40"/>
    </w:p>
    <w:p>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注：不同季节因风向不同，为了最大限度反映项目周围区域风场特征，根据不同风向划定不同的计算域。</w:t>
      </w:r>
    </w:p>
    <w:p>
      <w:pPr>
        <w:pStyle w:val="4"/>
      </w:pPr>
      <w:bookmarkStart w:id="41" w:name="_Toc509844741"/>
      <w:bookmarkStart w:id="42" w:name="_Toc7906"/>
      <w:r>
        <w:rPr>
          <w:rFonts w:hint="eastAsia"/>
        </w:rPr>
        <w:t>网格划分</w:t>
      </w:r>
      <w:bookmarkEnd w:id="41"/>
      <w:bookmarkEnd w:id="42"/>
    </w:p>
    <w:p>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均需采用不同的网格方案。下面为本项目所采用的加密方案：</w:t>
      </w:r>
    </w:p>
    <w:p>
      <w:pPr>
        <w:pStyle w:val="12"/>
        <w:spacing w:before="156"/>
        <w:ind w:left="426" w:firstLine="0"/>
        <w:rPr>
          <w:rFonts w:ascii="微软雅黑"/>
        </w:rPr>
      </w:pPr>
      <w:r>
        <w:rPr>
          <w:rFonts w:hint="eastAsia" w:ascii="微软雅黑"/>
        </w:rPr>
        <w:t>1）一般网格：指除靠近地面和建筑以外的网格，通常不需要特别加密处理</w:t>
      </w:r>
    </w:p>
    <w:p>
      <w:pPr>
        <w:pStyle w:val="12"/>
        <w:numPr>
          <w:ilvl w:val="0"/>
          <w:numId w:val="4"/>
        </w:numPr>
        <w:spacing w:before="156"/>
        <w:rPr>
          <w:rFonts w:ascii="微软雅黑"/>
        </w:rPr>
      </w:pPr>
      <w:bookmarkStart w:id="43" w:name="OLE_LINK15"/>
      <w:r>
        <w:rPr>
          <w:rFonts w:hint="eastAsia" w:ascii="微软雅黑"/>
        </w:rPr>
        <w:t>分弧精度：对于有圆弧特征的建筑局部，把圆弧分解为线段时，弦到弧的最大距离；</w:t>
      </w:r>
    </w:p>
    <w:bookmarkEnd w:id="43"/>
    <w:p>
      <w:pPr>
        <w:numPr>
          <w:ilvl w:val="0"/>
          <w:numId w:val="4"/>
        </w:numPr>
        <w:adjustRightInd w:val="0"/>
        <w:spacing w:before="156" w:beforeLines="50" w:line="315" w:lineRule="atLeast"/>
        <w:jc w:val="both"/>
        <w:textAlignment w:val="baseline"/>
        <w:rPr>
          <w:lang w:val="en-US"/>
        </w:rPr>
      </w:pPr>
      <w:r>
        <w:rPr>
          <w:rFonts w:hint="eastAsia"/>
          <w:lang w:val="en-US"/>
        </w:rPr>
        <w:t>最大网格尺寸：计算域内最大网格的尺寸；</w:t>
      </w:r>
    </w:p>
    <w:p>
      <w:pPr>
        <w:numPr>
          <w:ilvl w:val="0"/>
          <w:numId w:val="4"/>
        </w:numPr>
        <w:adjustRightInd w:val="0"/>
        <w:spacing w:before="156" w:beforeLines="50" w:line="315" w:lineRule="atLeast"/>
        <w:jc w:val="both"/>
        <w:textAlignment w:val="baseline"/>
        <w:rPr>
          <w:lang w:val="en-US"/>
        </w:rPr>
      </w:pPr>
      <w:r>
        <w:rPr>
          <w:rFonts w:hint="eastAsia"/>
          <w:lang w:val="en-US"/>
        </w:rPr>
        <w:t>最小网格尺寸：计算域内最小网格的尺寸；</w:t>
      </w:r>
    </w:p>
    <w:p>
      <w:pPr>
        <w:numPr>
          <w:ilvl w:val="0"/>
          <w:numId w:val="4"/>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pPr>
        <w:pStyle w:val="12"/>
        <w:spacing w:before="156"/>
        <w:ind w:left="0" w:firstLine="315" w:firstLineChars="150"/>
        <w:rPr>
          <w:rFonts w:ascii="微软雅黑"/>
        </w:rPr>
      </w:pPr>
      <w:r>
        <w:rPr>
          <w:rFonts w:hint="eastAsia" w:ascii="微软雅黑"/>
        </w:rPr>
        <w:t>2）地面网格</w:t>
      </w:r>
    </w:p>
    <w:p>
      <w:pPr>
        <w:pStyle w:val="12"/>
        <w:spacing w:before="156"/>
        <w:ind w:firstLine="315" w:firstLineChars="150"/>
        <w:rPr>
          <w:rFonts w:ascii="微软雅黑"/>
        </w:rPr>
      </w:pPr>
      <w:r>
        <w:rPr>
          <w:rFonts w:hint="eastAsia" w:ascii="微软雅黑"/>
        </w:rPr>
        <w:t>靠近建筑物的区域称为近场，远离建筑物的区域称为远场。</w:t>
      </w:r>
    </w:p>
    <w:p>
      <w:pPr>
        <w:pStyle w:val="12"/>
        <w:spacing w:before="156"/>
        <w:ind w:firstLine="315" w:firstLineChars="150"/>
        <w:rPr>
          <w:rFonts w:ascii="微软雅黑"/>
        </w:rPr>
      </w:pPr>
      <w:r>
        <w:rPr>
          <w:rFonts w:hint="eastAsia" w:ascii="微软雅黑"/>
        </w:rPr>
        <w:t>近场的地面网格需要加密，对应地面细分级数较大；而远场地面对应网格较疏，地面细分级数较小。</w:t>
      </w:r>
    </w:p>
    <w:p>
      <w:pPr>
        <w:pStyle w:val="3"/>
        <w:ind w:firstLine="420"/>
        <w:rPr>
          <w:rFonts w:ascii="微软雅黑" w:hAnsi="微软雅黑" w:eastAsia="微软雅黑"/>
        </w:rPr>
      </w:pPr>
      <w:r>
        <w:rPr>
          <w:rFonts w:hint="eastAsia" w:ascii="微软雅黑" w:hAnsi="微软雅黑" w:eastAsia="微软雅黑"/>
          <w:lang w:val="en-US"/>
        </w:rPr>
        <w:t>以下</w:t>
      </w:r>
      <w:r>
        <w:rPr>
          <w:rFonts w:hint="eastAsia" w:ascii="微软雅黑" w:hAnsi="微软雅黑" w:eastAsia="微软雅黑"/>
        </w:rPr>
        <w:t>为本项目的网格划分信息，上述网格方案对网格的控制分别体现在相应的网格参数中：</w:t>
      </w:r>
    </w:p>
    <w:p>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夏季网格划分信息</w:t>
      </w:r>
    </w:p>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微软雅黑" w:hAnsi="微软雅黑" w:eastAsia="微软雅黑"/>
                <w:sz w:val="18"/>
                <w:szCs w:val="18"/>
                <w:lang w:val="en-US"/>
              </w:rPr>
            </w:pPr>
            <w:r>
              <w:t>116325</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pPr>
              <w:spacing w:line="400" w:lineRule="exact"/>
              <w:jc w:val="center"/>
              <w:rPr>
                <w:rFonts w:ascii="微软雅黑" w:hAnsi="微软雅黑" w:eastAsia="微软雅黑"/>
                <w:sz w:val="18"/>
                <w:szCs w:val="18"/>
                <w:lang w:val="en-US"/>
              </w:rPr>
            </w:pPr>
            <w:r>
              <w:t>0.24</w:t>
            </w:r>
          </w:p>
        </w:tc>
      </w:tr>
      <w:tr>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微软雅黑" w:hAnsi="微软雅黑" w:eastAsia="微软雅黑"/>
                <w:sz w:val="18"/>
                <w:szCs w:val="18"/>
                <w:lang w:val="en-US"/>
              </w:rPr>
            </w:pPr>
            <w:r>
              <w:t>16.0</w:t>
            </w:r>
          </w:p>
        </w:tc>
      </w:tr>
      <w:tr>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微软雅黑" w:hAnsi="微软雅黑" w:eastAsia="微软雅黑"/>
                <w:sz w:val="18"/>
                <w:szCs w:val="18"/>
                <w:lang w:val="en-US"/>
              </w:rPr>
            </w:pPr>
            <w:r>
              <w:t>4.0</w:t>
            </w:r>
          </w:p>
        </w:tc>
      </w:tr>
      <w:tr>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微软雅黑" w:hAnsi="微软雅黑" w:eastAsia="微软雅黑"/>
                <w:sz w:val="18"/>
                <w:szCs w:val="18"/>
                <w:lang w:val="en-US"/>
              </w:rPr>
            </w:pPr>
            <w:r>
              <w:t>4.0</w:t>
            </w:r>
          </w:p>
        </w:tc>
      </w:tr>
      <w:tr>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微软雅黑" w:hAnsi="微软雅黑" w:eastAsia="微软雅黑"/>
                <w:sz w:val="18"/>
                <w:szCs w:val="18"/>
                <w:lang w:val="en-US"/>
              </w:rPr>
            </w:pPr>
            <w:r>
              <w:t>8.0</w:t>
            </w:r>
          </w:p>
        </w:tc>
      </w:tr>
      <w:tr>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微软雅黑" w:hAnsi="微软雅黑" w:eastAsia="微软雅黑"/>
                <w:sz w:val="18"/>
                <w:szCs w:val="18"/>
                <w:lang w:val="en-US"/>
              </w:rPr>
            </w:pPr>
            <w:r>
              <w:t>4.0</w:t>
            </w:r>
          </w:p>
        </w:tc>
      </w:tr>
    </w:tbl>
    <w:p>
      <w:pPr>
        <w:rPr>
          <w:rFonts w:ascii="微软雅黑" w:hAnsi="微软雅黑" w:eastAsia="微软雅黑"/>
          <w:sz w:val="18"/>
          <w:szCs w:val="18"/>
          <w:lang w:val="en-US"/>
        </w:rPr>
      </w:pPr>
    </w:p>
    <w:p>
      <w:pPr>
        <w:jc w:val="center"/>
      </w:pPr>
      <w:r>
        <w:drawing>
          <wp:inline distT="0" distB="0" distL="0" distR="0">
            <wp:extent cx="5667375" cy="33242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3"/>
                    <a:stretch>
                      <a:fillRect/>
                    </a:stretch>
                  </pic:blipFill>
                  <pic:spPr>
                    <a:xfrm>
                      <a:off x="0" y="0"/>
                      <a:ext cx="5667375" cy="3324225"/>
                    </a:xfrm>
                    <a:prstGeom prst="rect">
                      <a:avLst/>
                    </a:prstGeom>
                  </pic:spPr>
                </pic:pic>
              </a:graphicData>
            </a:graphic>
          </wp:inline>
        </w:drawing>
      </w:r>
    </w:p>
    <w:p>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网格图-夏季</w:t>
      </w:r>
    </w:p>
    <w:p>
      <w:pPr>
        <w:pStyle w:val="3"/>
        <w:ind w:firstLine="420"/>
        <w:rPr>
          <w:rFonts w:ascii="微软雅黑" w:hAnsi="微软雅黑" w:eastAsia="微软雅黑"/>
          <w:szCs w:val="20"/>
          <w:lang w:val="en-US"/>
        </w:rPr>
      </w:pPr>
      <w:bookmarkStart w:id="44" w:name="网格划分信息"/>
      <w:bookmarkEnd w:id="44"/>
      <w:r>
        <w:rPr>
          <w:rFonts w:hint="eastAsia" w:ascii="微软雅黑" w:hAnsi="微软雅黑" w:eastAsia="微软雅黑"/>
          <w:szCs w:val="20"/>
          <w:lang w:val="en-US"/>
        </w:rPr>
        <w:t>注：前述计算域随风向不同，所以相同的网格方案会产生不同的网格数量。</w:t>
      </w:r>
    </w:p>
    <w:p>
      <w:pPr>
        <w:pStyle w:val="3"/>
        <w:ind w:firstLine="0" w:firstLineChars="0"/>
        <w:rPr>
          <w:rFonts w:ascii="微软雅黑" w:hAnsi="微软雅黑" w:eastAsia="微软雅黑"/>
          <w:szCs w:val="20"/>
          <w:lang w:val="en-US"/>
        </w:rPr>
      </w:pPr>
      <w:bookmarkStart w:id="45" w:name="网格图"/>
      <w:bookmarkEnd w:id="45"/>
    </w:p>
    <w:p>
      <w:pPr>
        <w:pStyle w:val="4"/>
        <w:numPr>
          <w:ilvl w:val="1"/>
          <w:numId w:val="3"/>
        </w:numPr>
      </w:pPr>
      <w:bookmarkStart w:id="46" w:name="_Toc509844742"/>
      <w:bookmarkStart w:id="47" w:name="_Toc4769"/>
      <w:r>
        <w:rPr>
          <w:rFonts w:hint="eastAsia"/>
        </w:rPr>
        <w:t>边界条件</w:t>
      </w:r>
      <w:bookmarkEnd w:id="46"/>
      <w:bookmarkEnd w:id="47"/>
    </w:p>
    <w:p>
      <w:r>
        <w:rPr>
          <w:lang w:val="en-US"/>
        </w:rPr>
        <w:drawing>
          <wp:inline distT="0" distB="0" distL="0" distR="0">
            <wp:extent cx="5050155" cy="3060065"/>
            <wp:effectExtent l="0" t="0" r="0" b="698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56621" cy="3063821"/>
                    </a:xfrm>
                    <a:prstGeom prst="rect">
                      <a:avLst/>
                    </a:prstGeom>
                    <a:noFill/>
                    <a:ln>
                      <a:noFill/>
                    </a:ln>
                  </pic:spPr>
                </pic:pic>
              </a:graphicData>
            </a:graphic>
          </wp:inline>
        </w:drawing>
      </w:r>
    </w:p>
    <w:p>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pPr>
        <w:pStyle w:val="5"/>
      </w:pPr>
      <w:bookmarkStart w:id="48" w:name="_Toc509844743"/>
      <w:r>
        <w:rPr>
          <w:rFonts w:hint="eastAsia"/>
        </w:rPr>
        <w:t>入口与出口边界条件</w:t>
      </w:r>
      <w:bookmarkEnd w:id="48"/>
    </w:p>
    <w:p>
      <w:r>
        <w:rPr>
          <w:rFonts w:hint="eastAsia"/>
        </w:rPr>
        <w:t>1）入口风速梯度</w:t>
      </w:r>
    </w:p>
    <w:p>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pPr>
        <w:pStyle w:val="3"/>
        <w:ind w:firstLine="420"/>
        <w:rPr>
          <w:rFonts w:ascii="微软雅黑" w:hAnsi="微软雅黑" w:eastAsia="微软雅黑"/>
          <w:lang w:val="en-US"/>
        </w:rPr>
      </w:pPr>
      <w:r>
        <w:rPr>
          <w:rFonts w:hint="eastAsia" w:ascii="微软雅黑" w:hAnsi="微软雅黑" w:eastAsia="微软雅黑"/>
          <w:lang w:val="en-US"/>
        </w:rPr>
        <w:t>式中：</w:t>
      </w:r>
    </w:p>
    <w:p>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75pt;width:13.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49" w:name="地面粗糙度指数2"/>
      <w:r>
        <w:rPr>
          <w:rFonts w:hint="eastAsia" w:ascii="微软雅黑" w:hAnsi="微软雅黑" w:eastAsia="微软雅黑"/>
          <w:lang w:val="en-US"/>
        </w:rPr>
        <w:t>0.28</w:t>
      </w:r>
      <w:bookmarkEnd w:id="49"/>
      <w:r>
        <w:rPr>
          <w:rFonts w:hint="eastAsia" w:ascii="微软雅黑" w:hAnsi="微软雅黑" w:eastAsia="微软雅黑"/>
          <w:lang w:val="en-US"/>
        </w:rPr>
        <w:t>；</w:t>
      </w:r>
    </w:p>
    <w:p>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hint="eastAsia" w:ascii="微软雅黑" w:hAnsi="微软雅黑" w:eastAsia="微软雅黑"/>
          <w:sz w:val="20"/>
          <w:szCs w:val="20"/>
        </w:rPr>
        <w:t>地面粗糙度指数参考值</w:t>
      </w:r>
    </w:p>
    <w:tbl>
      <w:tblPr>
        <w:tblStyle w:val="21"/>
        <w:tblW w:w="8222" w:type="dxa"/>
        <w:tblInd w:w="108" w:type="dxa"/>
        <w:tblLayout w:type="autofit"/>
        <w:tblCellMar>
          <w:top w:w="0" w:type="dxa"/>
          <w:left w:w="108" w:type="dxa"/>
          <w:bottom w:w="0" w:type="dxa"/>
          <w:right w:w="108" w:type="dxa"/>
        </w:tblCellMar>
      </w:tblPr>
      <w:tblGrid>
        <w:gridCol w:w="2864"/>
        <w:gridCol w:w="2948"/>
        <w:gridCol w:w="2410"/>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vAlign w:val="center"/>
          </w:tcPr>
          <w:p>
            <w:pPr>
              <w:jc w:val="center"/>
              <w:rPr>
                <w:rFonts w:cs="宋体"/>
                <w:b/>
                <w:bCs/>
                <w:sz w:val="18"/>
                <w:szCs w:val="18"/>
              </w:rPr>
            </w:pPr>
            <w:r>
              <w:rPr>
                <w:rFonts w:hint="eastAsia" w:cs="宋体"/>
                <w:b/>
                <w:bCs/>
                <w:sz w:val="18"/>
                <w:szCs w:val="18"/>
              </w:rPr>
              <w:t>参考标准</w:t>
            </w:r>
          </w:p>
        </w:tc>
        <w:tc>
          <w:tcPr>
            <w:tcW w:w="2948" w:type="dxa"/>
            <w:tcBorders>
              <w:top w:val="single" w:color="auto" w:sz="4" w:space="0"/>
              <w:left w:val="nil"/>
              <w:bottom w:val="single" w:color="auto" w:sz="4" w:space="0"/>
              <w:right w:val="single" w:color="auto" w:sz="4" w:space="0"/>
            </w:tcBorders>
            <w:vAlign w:val="center"/>
          </w:tcPr>
          <w:p>
            <w:pPr>
              <w:jc w:val="center"/>
              <w:rPr>
                <w:rFonts w:cs="宋体"/>
                <w:b/>
                <w:bCs/>
                <w:sz w:val="18"/>
                <w:szCs w:val="18"/>
              </w:rPr>
            </w:pPr>
            <w:r>
              <w:rPr>
                <w:rFonts w:hint="eastAsia" w:cs="宋体"/>
                <w:b/>
                <w:bCs/>
                <w:sz w:val="18"/>
                <w:szCs w:val="18"/>
              </w:rPr>
              <w:t>地貌类别</w:t>
            </w:r>
          </w:p>
        </w:tc>
        <w:tc>
          <w:tcPr>
            <w:tcW w:w="2410" w:type="dxa"/>
            <w:tcBorders>
              <w:top w:val="single" w:color="auto" w:sz="4" w:space="0"/>
              <w:left w:val="nil"/>
              <w:bottom w:val="single" w:color="auto" w:sz="4" w:space="0"/>
              <w:right w:val="single" w:color="auto" w:sz="4" w:space="0"/>
            </w:tcBorders>
            <w:vAlign w:val="center"/>
          </w:tcPr>
          <w:p>
            <w:pPr>
              <w:jc w:val="center"/>
              <w:rPr>
                <w:rFonts w:cs="宋体"/>
                <w:b/>
                <w:bCs/>
                <w:sz w:val="18"/>
                <w:szCs w:val="18"/>
              </w:rPr>
            </w:pPr>
            <w:r>
              <w:rPr>
                <w:rFonts w:hint="eastAsia" w:cs="宋体"/>
                <w:b/>
                <w:bCs/>
                <w:sz w:val="18"/>
                <w:szCs w:val="18"/>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jc w:val="center"/>
              <w:rPr>
                <w:rFonts w:cs="宋体"/>
                <w:b/>
                <w:sz w:val="18"/>
                <w:szCs w:val="18"/>
              </w:rPr>
            </w:pPr>
            <w:r>
              <w:rPr>
                <w:rFonts w:hint="eastAsia"/>
                <w:sz w:val="18"/>
                <w:szCs w:val="18"/>
              </w:rPr>
              <w:t>《绿色建筑评价技术细则》</w:t>
            </w:r>
          </w:p>
        </w:tc>
        <w:tc>
          <w:tcPr>
            <w:tcW w:w="2948" w:type="dxa"/>
            <w:tcBorders>
              <w:top w:val="single" w:color="auto" w:sz="4" w:space="0"/>
              <w:left w:val="nil"/>
              <w:bottom w:val="single" w:color="auto" w:sz="4" w:space="0"/>
              <w:right w:val="single" w:color="auto" w:sz="4" w:space="0"/>
            </w:tcBorders>
            <w:vAlign w:val="center"/>
          </w:tcPr>
          <w:p>
            <w:pPr>
              <w:jc w:val="center"/>
              <w:rPr>
                <w:rFonts w:cs="宋体"/>
                <w:sz w:val="18"/>
                <w:szCs w:val="18"/>
              </w:rPr>
            </w:pPr>
            <w:r>
              <w:rPr>
                <w:rFonts w:hint="eastAsia" w:cs="宋体"/>
                <w:sz w:val="18"/>
                <w:szCs w:val="18"/>
              </w:rPr>
              <w:t>空旷平坦地面</w:t>
            </w:r>
          </w:p>
        </w:tc>
        <w:tc>
          <w:tcPr>
            <w:tcW w:w="2410" w:type="dxa"/>
            <w:tcBorders>
              <w:top w:val="single" w:color="auto" w:sz="4" w:space="0"/>
              <w:left w:val="nil"/>
              <w:bottom w:val="single" w:color="auto" w:sz="4" w:space="0"/>
              <w:right w:val="single" w:color="auto" w:sz="4" w:space="0"/>
            </w:tcBorders>
            <w:vAlign w:val="center"/>
          </w:tcPr>
          <w:p>
            <w:pPr>
              <w:jc w:val="center"/>
              <w:rPr>
                <w:rFonts w:cs="宋体"/>
                <w:sz w:val="18"/>
                <w:szCs w:val="18"/>
              </w:rPr>
            </w:pPr>
            <w:r>
              <w:rPr>
                <w:rFonts w:hint="eastAsia" w:cs="宋体"/>
                <w:sz w:val="18"/>
                <w:szCs w:val="18"/>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pPr>
              <w:jc w:val="center"/>
              <w:rPr>
                <w:rFonts w:cs="宋体"/>
                <w:sz w:val="18"/>
                <w:szCs w:val="18"/>
              </w:rPr>
            </w:pPr>
            <w:r>
              <w:rPr>
                <w:rFonts w:hint="eastAsia" w:cs="宋体"/>
                <w:sz w:val="18"/>
                <w:szCs w:val="18"/>
              </w:rPr>
              <w:t>城市郊区</w:t>
            </w:r>
          </w:p>
        </w:tc>
        <w:tc>
          <w:tcPr>
            <w:tcW w:w="2410" w:type="dxa"/>
            <w:tcBorders>
              <w:top w:val="single" w:color="auto" w:sz="4" w:space="0"/>
              <w:left w:val="nil"/>
              <w:bottom w:val="single" w:color="auto" w:sz="4" w:space="0"/>
              <w:right w:val="single" w:color="auto" w:sz="4" w:space="0"/>
            </w:tcBorders>
            <w:vAlign w:val="center"/>
          </w:tcPr>
          <w:p>
            <w:pPr>
              <w:jc w:val="center"/>
              <w:rPr>
                <w:rFonts w:cs="宋体"/>
                <w:sz w:val="18"/>
                <w:szCs w:val="18"/>
              </w:rPr>
            </w:pPr>
            <w:r>
              <w:rPr>
                <w:rFonts w:hint="eastAsia" w:cs="宋体"/>
                <w:sz w:val="18"/>
                <w:szCs w:val="18"/>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pPr>
              <w:jc w:val="center"/>
              <w:rPr>
                <w:rFonts w:cs="宋体"/>
                <w:sz w:val="18"/>
                <w:szCs w:val="18"/>
              </w:rPr>
            </w:pPr>
            <w:r>
              <w:rPr>
                <w:rFonts w:hint="eastAsia" w:cs="宋体"/>
                <w:sz w:val="18"/>
                <w:szCs w:val="18"/>
              </w:rPr>
              <w:t>大城市中心</w:t>
            </w:r>
          </w:p>
        </w:tc>
        <w:tc>
          <w:tcPr>
            <w:tcW w:w="2410" w:type="dxa"/>
            <w:tcBorders>
              <w:top w:val="single" w:color="auto" w:sz="4" w:space="0"/>
              <w:left w:val="nil"/>
              <w:bottom w:val="single" w:color="auto" w:sz="4" w:space="0"/>
              <w:right w:val="single" w:color="auto" w:sz="4" w:space="0"/>
            </w:tcBorders>
            <w:vAlign w:val="center"/>
          </w:tcPr>
          <w:p>
            <w:pPr>
              <w:jc w:val="center"/>
              <w:rPr>
                <w:rFonts w:cs="宋体"/>
                <w:sz w:val="18"/>
                <w:szCs w:val="18"/>
              </w:rPr>
            </w:pPr>
            <w:r>
              <w:rPr>
                <w:rFonts w:hint="eastAsia" w:cs="宋体"/>
                <w:sz w:val="18"/>
                <w:szCs w:val="18"/>
              </w:rPr>
              <w:t>0.28</w:t>
            </w:r>
          </w:p>
        </w:tc>
      </w:tr>
    </w:tbl>
    <w:p>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pPr>
        <w:spacing w:before="156" w:beforeLines="50"/>
      </w:pPr>
      <w:r>
        <w:t>2）出口边界</w:t>
      </w:r>
      <w:r>
        <w:rPr>
          <w:rFonts w:hint="eastAsia"/>
        </w:rPr>
        <w:t>条件</w:t>
      </w:r>
    </w:p>
    <w:p>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本项目采用自由出流作为出口边界条件。</w:t>
      </w:r>
    </w:p>
    <w:p>
      <w:pPr>
        <w:pStyle w:val="5"/>
      </w:pPr>
      <w:bookmarkStart w:id="50" w:name="_Toc509844744"/>
      <w:r>
        <w:rPr>
          <w:rFonts w:hint="eastAsia"/>
        </w:rPr>
        <w:t>壁面边界条件</w:t>
      </w:r>
      <w:bookmarkEnd w:id="50"/>
    </w:p>
    <w:p>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pPr>
        <w:pStyle w:val="3"/>
        <w:ind w:firstLine="420" w:firstLineChars="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pPr>
        <w:pStyle w:val="4"/>
        <w:numPr>
          <w:ilvl w:val="1"/>
          <w:numId w:val="3"/>
        </w:numPr>
      </w:pPr>
      <w:bookmarkStart w:id="51" w:name="_Toc19246"/>
      <w:r>
        <w:rPr>
          <w:rFonts w:hint="eastAsia"/>
        </w:rPr>
        <w:t>湍流模型</w:t>
      </w:r>
      <w:bookmarkEnd w:id="38"/>
      <w:bookmarkEnd w:id="39"/>
      <w:bookmarkEnd w:id="51"/>
    </w:p>
    <w:p>
      <w:pPr>
        <w:pStyle w:val="3"/>
        <w:ind w:firstLine="420"/>
        <w:rPr>
          <w:rFonts w:ascii="微软雅黑" w:hAnsi="微软雅黑" w:eastAsia="微软雅黑"/>
        </w:rPr>
      </w:pPr>
      <w:r>
        <w:rPr>
          <w:rFonts w:hint="eastAsia" w:ascii="微软雅黑" w:hAnsi="微软雅黑" w:eastAsia="微软雅黑"/>
        </w:rPr>
        <w:t>湍流</w:t>
      </w:r>
      <w:r>
        <w:rPr>
          <w:rFonts w:hint="eastAsia" w:ascii="微软雅黑" w:hAnsi="微软雅黑" w:eastAsia="微软雅黑"/>
          <w:lang w:val="en-US"/>
        </w:rPr>
        <w:t>模型</w:t>
      </w:r>
      <w:r>
        <w:rPr>
          <w:rFonts w:hint="eastAsia" w:ascii="微软雅黑" w:hAnsi="微软雅黑" w:eastAsia="微软雅黑"/>
        </w:rPr>
        <w:t>反映了流体流动的状态，在流体力学数值模拟中，不同的流体流动应该选择合适的湍流模型才会最大限度模拟出真实的流场数值。</w:t>
      </w:r>
    </w:p>
    <w:p>
      <w:pPr>
        <w:pStyle w:val="3"/>
        <w:ind w:firstLine="420"/>
        <w:rPr>
          <w:rFonts w:ascii="微软雅黑" w:hAnsi="微软雅黑" w:eastAsia="微软雅黑"/>
        </w:rPr>
      </w:pPr>
      <w:r>
        <w:rPr>
          <w:rFonts w:hint="eastAsia" w:ascii="微软雅黑" w:hAnsi="微软雅黑" w:eastAsia="微软雅黑"/>
        </w:rPr>
        <w:t>本</w:t>
      </w:r>
      <w:r>
        <w:rPr>
          <w:rFonts w:hint="eastAsia" w:ascii="微软雅黑" w:hAnsi="微软雅黑" w:eastAsia="微软雅黑"/>
          <w:lang w:val="en-US"/>
        </w:rPr>
        <w:t>项目</w:t>
      </w:r>
      <w:r>
        <w:rPr>
          <w:rFonts w:hint="eastAsia" w:ascii="微软雅黑" w:hAnsi="微软雅黑" w:eastAsia="微软雅黑"/>
        </w:rPr>
        <w:t>依据《绿色建筑评价技术细则》推荐的标准k-ε湍流模型进行室外流场计算。</w:t>
      </w:r>
    </w:p>
    <w:p>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44</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常用湍流模型适用范围</w:t>
      </w:r>
    </w:p>
    <w:tbl>
      <w:tblPr>
        <w:tblStyle w:val="21"/>
        <w:tblW w:w="8379" w:type="dxa"/>
        <w:tblInd w:w="93" w:type="dxa"/>
        <w:tblLayout w:type="fixed"/>
        <w:tblCellMar>
          <w:top w:w="0" w:type="dxa"/>
          <w:left w:w="108" w:type="dxa"/>
          <w:bottom w:w="0" w:type="dxa"/>
          <w:right w:w="108" w:type="dxa"/>
        </w:tblCellMar>
      </w:tblPr>
      <w:tblGrid>
        <w:gridCol w:w="2000"/>
        <w:gridCol w:w="6379"/>
      </w:tblGrid>
      <w:tr>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vAlign w:val="center"/>
          </w:tcPr>
          <w:p>
            <w:pPr>
              <w:jc w:val="center"/>
              <w:rPr>
                <w:rFonts w:cs="宋体"/>
                <w:b/>
                <w:bCs/>
                <w:sz w:val="18"/>
                <w:szCs w:val="18"/>
              </w:rPr>
            </w:pPr>
            <w:r>
              <w:rPr>
                <w:rFonts w:hint="eastAsia" w:cs="宋体"/>
                <w:b/>
                <w:bCs/>
                <w:sz w:val="18"/>
                <w:szCs w:val="18"/>
              </w:rPr>
              <w:t>特点和适用工况</w:t>
            </w:r>
          </w:p>
        </w:tc>
      </w:tr>
      <w:tr>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pPr>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rPr>
                <w:rFonts w:cs="宋体"/>
                <w:sz w:val="18"/>
                <w:szCs w:val="18"/>
              </w:rPr>
            </w:pPr>
            <w:r>
              <w:rPr>
                <w:rFonts w:hint="eastAsia" w:cs="宋体"/>
                <w:sz w:val="18"/>
                <w:szCs w:val="18"/>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pPr>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pPr>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rPr>
                <w:rFonts w:cs="宋体"/>
                <w:sz w:val="18"/>
                <w:szCs w:val="18"/>
              </w:rPr>
            </w:pPr>
            <w:r>
              <w:rPr>
                <w:rFonts w:hint="eastAsia" w:cs="宋体"/>
                <w:sz w:val="18"/>
                <w:szCs w:val="18"/>
              </w:rPr>
              <w:t>旋转流动、强逆压梯度的边界层流动、流动分离和二次流，类似于RNG</w:t>
            </w:r>
          </w:p>
        </w:tc>
      </w:tr>
    </w:tbl>
    <w:p>
      <w:pPr>
        <w:pStyle w:val="4"/>
        <w:numPr>
          <w:ilvl w:val="1"/>
          <w:numId w:val="3"/>
        </w:numPr>
      </w:pPr>
      <w:bookmarkStart w:id="52" w:name="_Toc452108767"/>
      <w:bookmarkStart w:id="53" w:name="_Toc451698939"/>
      <w:bookmarkStart w:id="54" w:name="_Toc2268"/>
      <w:r>
        <w:rPr>
          <w:rFonts w:hint="eastAsia"/>
        </w:rPr>
        <w:t>求解计算</w:t>
      </w:r>
      <w:bookmarkEnd w:id="52"/>
      <w:bookmarkEnd w:id="53"/>
      <w:bookmarkEnd w:id="54"/>
    </w:p>
    <w:p>
      <w:pPr>
        <w:pStyle w:val="5"/>
      </w:pPr>
      <w:r>
        <w:rPr>
          <w:rFonts w:hint="eastAsia"/>
        </w:rPr>
        <w:t>数学模型</w:t>
      </w:r>
    </w:p>
    <w:p>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w:rPr>
                  <w:rFonts w:ascii="Cambria Math" w:hAnsi="Cambria Math" w:eastAsia="微软雅黑"/>
                  <w:lang w:val="en-US"/>
                </w:rPr>
                <m:t>∂(ρϕ)</m:t>
              </m:r>
              <m:ctrlPr>
                <w:rPr>
                  <w:rFonts w:ascii="Cambria Math" w:hAnsi="Cambria Math" w:eastAsia="微软雅黑"/>
                  <w:lang w:val="en-US"/>
                </w:rPr>
              </m:ctrlPr>
            </m:num>
            <m:den>
              <m: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w:rPr>
                      <w:rFonts w:ascii="Cambria Math" w:hAnsi="Cambria Math" w:eastAsia="微软雅黑"/>
                      <w:lang w:val="en-US"/>
                    </w:rPr>
                    <m:t>ϕ</m:t>
                  </m:r>
                  <m:ctrlPr>
                    <w:rPr>
                      <w:rFonts w:ascii="Cambria Math" w:hAnsi="Cambria Math" w:eastAsia="微软雅黑"/>
                      <w:i/>
                      <w:lang w:val="en-US"/>
                    </w:rPr>
                  </m:ctrlPr>
                </m:sub>
              </m:sSub>
              <m: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w:rPr>
                  <w:rFonts w:ascii="Cambria Math" w:hAnsi="Cambria Math" w:eastAsia="微软雅黑"/>
                  <w:lang w:val="en-US"/>
                </w:rPr>
                <m:t>S</m:t>
              </m:r>
              <m:ctrlPr>
                <w:rPr>
                  <w:rFonts w:ascii="Cambria Math" w:hAnsi="Cambria Math" w:eastAsia="微软雅黑"/>
                  <w:lang w:val="en-US"/>
                </w:rPr>
              </m:ctrlPr>
            </m:e>
            <m:sub>
              <m:r>
                <w:rPr>
                  <w:rFonts w:ascii="Cambria Math" w:hAnsi="Cambria Math" w:eastAsia="微软雅黑"/>
                  <w:lang w:val="en-US"/>
                </w:rPr>
                <m:t>ϕ</m:t>
              </m:r>
              <m:ctrlPr>
                <w:rPr>
                  <w:rFonts w:ascii="Cambria Math" w:hAnsi="Cambria Math" w:eastAsia="微软雅黑"/>
                  <w:lang w:val="en-US"/>
                </w:rPr>
              </m:ctrlPr>
            </m:sub>
          </m:sSub>
        </m:oMath>
      </m:oMathPara>
    </w:p>
    <w:p>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pPr>
        <w:pStyle w:val="3"/>
        <w:ind w:firstLine="0" w:firstLineChars="0"/>
        <w:jc w:val="center"/>
        <w:rPr>
          <w:rFonts w:ascii="微软雅黑" w:hAnsi="微软雅黑" w:eastAsia="微软雅黑"/>
          <w:sz w:val="20"/>
          <w:szCs w:val="20"/>
        </w:rPr>
      </w:pPr>
      <w:bookmarkStart w:id="55"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45</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55"/>
      <w:r>
        <w:rPr>
          <w:rFonts w:hint="eastAsia" w:ascii="微软雅黑" w:hAnsi="微软雅黑" w:eastAsia="微软雅黑"/>
          <w:sz w:val="20"/>
          <w:szCs w:val="20"/>
        </w:rPr>
        <w:t xml:space="preserve"> </w:t>
      </w:r>
      <w:bookmarkStart w:id="56" w:name="_Ref225175618"/>
      <w:r>
        <w:rPr>
          <w:rFonts w:hint="eastAsia" w:ascii="微软雅黑" w:hAnsi="微软雅黑" w:eastAsia="微软雅黑"/>
          <w:sz w:val="20"/>
          <w:szCs w:val="20"/>
        </w:rPr>
        <w:t>计算流体力学的控制方程</w:t>
      </w:r>
      <w:bookmarkEnd w:id="56"/>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 w:val="18"/>
                <w:szCs w:val="18"/>
              </w:rPr>
            </w:pPr>
            <w:r>
              <w:rPr>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w:rPr>
                    <w:rFonts w:ascii="Cambria Math" w:hAnsi="Cambria Math" w:cs="Calibri"/>
                    <w:color w:val="000000"/>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w:rPr>
                    <w:rFonts w:ascii="Cambria Math" w:hAnsi="Cambria Math" w:cs="Calibri"/>
                    <w:color w:val="000000"/>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w:rPr>
                    <w:rFonts w:ascii="Cambria Math" w:hAnsi="Cambria Math" w:cs="Calibri"/>
                    <w:color w:val="000000"/>
                    <w:kern w:val="2"/>
                    <w:sz w:val="18"/>
                    <w:szCs w:val="18"/>
                  </w:rPr>
                  <m:t>-ρg</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w:rPr>
                    <w:rFonts w:ascii="Cambria Math" w:hAnsi="Cambria Math" w:cs="Calibri"/>
                    <w:color w:val="000000"/>
                    <w:kern w:val="2"/>
                    <w:sz w:val="18"/>
                    <w:szCs w:val="18"/>
                  </w:rPr>
                  <m:t>-ρε</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G</m:t>
                    </m:r>
                    <m:ctrlPr>
                      <w:rPr>
                        <w:rFonts w:ascii="Cambria Math" w:hAnsi="Cambria Math" w:eastAsia="微软雅黑"/>
                        <w:sz w:val="18"/>
                        <w:szCs w:val="18"/>
                        <w:lang w:val="en-US"/>
                      </w:rPr>
                    </m:ctrlPr>
                  </m:e>
                  <m:sub>
                    <m: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μ</m:t>
                    </m:r>
                    <m:ctrlPr>
                      <w:rPr>
                        <w:rFonts w:ascii="Cambria Math" w:hAnsi="Cambria Math" w:eastAsia="微软雅黑"/>
                        <w:sz w:val="18"/>
                        <w:szCs w:val="18"/>
                        <w:lang w:val="en-US"/>
                      </w:rPr>
                    </m:ctrlPr>
                  </m:e>
                  <m:sub>
                    <m: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S</m:t>
                    </m:r>
                    <m:ctrlPr>
                      <w:rPr>
                        <w:rFonts w:ascii="Cambria Math" w:hAnsi="Cambria Math" w:eastAsia="微软雅黑"/>
                        <w:i/>
                        <w:sz w:val="18"/>
                        <w:szCs w:val="18"/>
                        <w:lang w:val="en-US"/>
                      </w:rPr>
                    </m:ctrlPr>
                  </m:e>
                  <m:sup>
                    <m: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S</m:t>
                        </m:r>
                        <m:ctrlPr>
                          <w:rPr>
                            <w:rFonts w:ascii="Cambria Math" w:hAnsi="Cambria Math" w:eastAsia="微软雅黑"/>
                            <w:i/>
                            <w:sz w:val="18"/>
                            <w:szCs w:val="18"/>
                            <w:lang w:val="en-US"/>
                          </w:rPr>
                        </m:ctrlPr>
                      </m:e>
                      <m:sub>
                        <m: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S</m:t>
                        </m:r>
                        <m:ctrlPr>
                          <w:rPr>
                            <w:rFonts w:ascii="Cambria Math" w:hAnsi="Cambria Math" w:eastAsia="微软雅黑"/>
                            <w:i/>
                            <w:sz w:val="18"/>
                            <w:szCs w:val="18"/>
                            <w:lang w:val="en-US"/>
                          </w:rPr>
                        </m:ctrlPr>
                      </m:e>
                      <m:sub>
                        <m: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S</m:t>
                    </m:r>
                    <m:ctrlPr>
                      <w:rPr>
                        <w:rFonts w:ascii="Cambria Math" w:hAnsi="Cambria Math" w:eastAsia="微软雅黑"/>
                        <w:sz w:val="18"/>
                        <w:szCs w:val="18"/>
                        <w:lang w:val="en-US"/>
                      </w:rPr>
                    </m:ctrlPr>
                  </m:e>
                  <m:sub>
                    <m: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w:rPr>
                        <w:rFonts w:ascii="Cambria Math" w:hAnsi="Cambria Math" w:eastAsia="微软雅黑"/>
                        <w:sz w:val="18"/>
                        <w:szCs w:val="18"/>
                        <w:lang w:val="en-US"/>
                      </w:rPr>
                      <m:t>1</m:t>
                    </m:r>
                    <m:ctrlPr>
                      <w:rPr>
                        <w:rFonts w:ascii="Cambria Math" w:hAnsi="Cambria Math" w:eastAsia="微软雅黑"/>
                        <w:sz w:val="18"/>
                        <w:szCs w:val="18"/>
                        <w:lang w:val="en-US"/>
                      </w:rPr>
                    </m:ctrlPr>
                  </m:num>
                  <m:den>
                    <m:r>
                      <w:rPr>
                        <w:rFonts w:ascii="Cambria Math" w:hAnsi="Cambria Math" w:eastAsia="微软雅黑"/>
                        <w:sz w:val="18"/>
                        <w:szCs w:val="18"/>
                        <w:lang w:val="en-US"/>
                      </w:rPr>
                      <m:t>2</m:t>
                    </m:r>
                    <m:ctrlPr>
                      <w:rPr>
                        <w:rFonts w:ascii="Cambria Math" w:hAnsi="Cambria Math" w:eastAsia="微软雅黑"/>
                        <w:sz w:val="18"/>
                        <w:szCs w:val="18"/>
                        <w:lang w:val="en-US"/>
                      </w:rPr>
                    </m:ctrlPr>
                  </m:den>
                </m:f>
                <m: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u</m:t>
                        </m:r>
                        <m:ctrlPr>
                          <w:rPr>
                            <w:rFonts w:ascii="Cambria Math" w:hAnsi="Cambria Math" w:eastAsia="微软雅黑"/>
                            <w:i/>
                            <w:sz w:val="18"/>
                            <w:szCs w:val="18"/>
                            <w:lang w:val="en-US"/>
                          </w:rPr>
                        </m:ctrlPr>
                      </m:e>
                      <m:sub>
                        <m: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x</m:t>
                        </m:r>
                        <m:ctrlPr>
                          <w:rPr>
                            <w:rFonts w:ascii="Cambria Math" w:hAnsi="Cambria Math" w:eastAsia="微软雅黑"/>
                            <w:i/>
                            <w:sz w:val="18"/>
                            <w:szCs w:val="18"/>
                            <w:lang w:val="en-US"/>
                          </w:rPr>
                        </m:ctrlPr>
                      </m:e>
                      <m:sub>
                        <m: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u</m:t>
                        </m:r>
                        <m:ctrlPr>
                          <w:rPr>
                            <w:rFonts w:ascii="Cambria Math" w:hAnsi="Cambria Math" w:eastAsia="微软雅黑"/>
                            <w:i/>
                            <w:sz w:val="18"/>
                            <w:szCs w:val="18"/>
                            <w:lang w:val="en-US"/>
                          </w:rPr>
                        </m:ctrlPr>
                      </m:e>
                      <m:sub>
                        <m: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x</m:t>
                        </m:r>
                        <m:ctrlPr>
                          <w:rPr>
                            <w:rFonts w:ascii="Cambria Math" w:hAnsi="Cambria Math" w:eastAsia="微软雅黑"/>
                            <w:i/>
                            <w:sz w:val="18"/>
                            <w:szCs w:val="18"/>
                            <w:lang w:val="en-US"/>
                          </w:rPr>
                        </m:ctrlPr>
                      </m:e>
                      <m:sub>
                        <m: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w:rPr>
                    <w:rFonts w:ascii="Cambria Math" w:hAnsi="Cambria Math" w:eastAsia="微软雅黑"/>
                    <w:sz w:val="18"/>
                    <w:szCs w:val="18"/>
                    <w:lang w:val="en-US"/>
                  </w:rPr>
                  <m:t>)</m:t>
                </m:r>
              </m:oMath>
            </m:oMathPara>
          </w:p>
        </w:tc>
        <w:tc>
          <w:tcPr>
            <w:tcW w:w="2083" w:type="dxa"/>
            <w:vAlign w:val="center"/>
          </w:tcPr>
          <w:p>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G</m:t>
                    </m:r>
                    <m:ctrlPr>
                      <w:rPr>
                        <w:rFonts w:ascii="Cambria Math" w:hAnsi="Cambria Math" w:eastAsia="微软雅黑"/>
                        <w:sz w:val="18"/>
                        <w:szCs w:val="18"/>
                        <w:lang w:val="en-US"/>
                      </w:rPr>
                    </m:ctrlPr>
                  </m:e>
                  <m:sub>
                    <m: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β</m:t>
                    </m:r>
                    <m:ctrlPr>
                      <w:rPr>
                        <w:rFonts w:ascii="Cambria Math" w:hAnsi="Cambria Math" w:eastAsia="微软雅黑"/>
                        <w:sz w:val="18"/>
                        <w:szCs w:val="18"/>
                        <w:lang w:val="en-US"/>
                      </w:rPr>
                    </m:ctrlPr>
                  </m:e>
                  <m:sub>
                    <m:r>
                      <w:rPr>
                        <w:rFonts w:ascii="Cambria Math" w:hAnsi="Cambria Math" w:eastAsia="微软雅黑"/>
                        <w:sz w:val="18"/>
                        <w:szCs w:val="18"/>
                        <w:lang w:val="en-US"/>
                      </w:rPr>
                      <m:t>T</m:t>
                    </m:r>
                    <m:ctrlPr>
                      <w:rPr>
                        <w:rFonts w:ascii="Cambria Math" w:hAnsi="Cambria Math" w:eastAsia="微软雅黑"/>
                        <w:sz w:val="18"/>
                        <w:szCs w:val="18"/>
                        <w:lang w:val="en-US"/>
                      </w:rPr>
                    </m:ctrlPr>
                  </m:sub>
                </m:sSub>
                <m: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μ</m:t>
                        </m:r>
                        <m:ctrlPr>
                          <w:rPr>
                            <w:rFonts w:ascii="Cambria Math" w:hAnsi="Cambria Math" w:eastAsia="微软雅黑"/>
                            <w:i/>
                            <w:sz w:val="18"/>
                            <w:szCs w:val="18"/>
                            <w:lang w:val="en-US"/>
                          </w:rPr>
                        </m:ctrlPr>
                      </m:e>
                      <m:sub>
                        <m: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σ</m:t>
                        </m:r>
                        <m:ctrlPr>
                          <w:rPr>
                            <w:rFonts w:ascii="Cambria Math" w:hAnsi="Cambria Math" w:eastAsia="微软雅黑"/>
                            <w:i/>
                            <w:sz w:val="18"/>
                            <w:szCs w:val="18"/>
                            <w:lang w:val="en-US"/>
                          </w:rPr>
                        </m:ctrlPr>
                      </m:e>
                      <m:sub>
                        <m: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w:rPr>
                        <w:rFonts w:ascii="Cambria Math" w:hAnsi="Cambria Math" w:eastAsia="微软雅黑"/>
                        <w:sz w:val="18"/>
                        <w:szCs w:val="18"/>
                        <w:lang w:val="en-US"/>
                      </w:rPr>
                      <m:t>∂T</m:t>
                    </m:r>
                    <m:ctrlPr>
                      <w:rPr>
                        <w:rFonts w:ascii="Cambria Math" w:hAnsi="Cambria Math" w:eastAsia="微软雅黑"/>
                        <w:i/>
                        <w:sz w:val="18"/>
                        <w:szCs w:val="18"/>
                        <w:lang w:val="en-US"/>
                      </w:rPr>
                    </m:ctrlPr>
                  </m:num>
                  <m:den>
                    <m: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μ</m:t>
                    </m:r>
                    <m:ctrlPr>
                      <w:rPr>
                        <w:rFonts w:ascii="Cambria Math" w:hAnsi="Cambria Math" w:eastAsia="微软雅黑"/>
                        <w:sz w:val="18"/>
                        <w:szCs w:val="18"/>
                        <w:lang w:val="en-US"/>
                      </w:rPr>
                    </m:ctrlPr>
                  </m:e>
                  <m:sub>
                    <m: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C</m:t>
                    </m:r>
                    <m:ctrlPr>
                      <w:rPr>
                        <w:rFonts w:ascii="Cambria Math" w:hAnsi="Cambria Math" w:eastAsia="微软雅黑"/>
                        <w:sz w:val="18"/>
                        <w:szCs w:val="18"/>
                        <w:lang w:val="en-US"/>
                      </w:rPr>
                    </m:ctrlPr>
                  </m:e>
                  <m:sub>
                    <m: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k</m:t>
                        </m:r>
                        <m:ctrlPr>
                          <w:rPr>
                            <w:rFonts w:ascii="Cambria Math" w:hAnsi="Cambria Math" w:eastAsia="微软雅黑"/>
                            <w:i/>
                            <w:sz w:val="18"/>
                            <w:szCs w:val="18"/>
                            <w:lang w:val="en-US"/>
                          </w:rPr>
                        </m:ctrlPr>
                      </m:e>
                      <m:sup>
                        <m: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C</m:t>
                    </m:r>
                    <m:ctrlPr>
                      <w:rPr>
                        <w:rFonts w:ascii="Cambria Math" w:hAnsi="Cambria Math" w:eastAsia="微软雅黑"/>
                        <w:sz w:val="18"/>
                        <w:szCs w:val="18"/>
                        <w:lang w:val="en-US"/>
                      </w:rPr>
                    </m:ctrlPr>
                  </m:e>
                  <m:sub>
                    <m: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C</m:t>
                    </m:r>
                    <m:ctrlPr>
                      <w:rPr>
                        <w:rFonts w:ascii="Cambria Math" w:hAnsi="Cambria Math" w:eastAsia="微软雅黑"/>
                        <w:sz w:val="18"/>
                        <w:szCs w:val="18"/>
                        <w:lang w:val="en-US"/>
                      </w:rPr>
                    </m:ctrlPr>
                  </m:e>
                  <m:sub>
                    <m: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C</m:t>
                    </m:r>
                    <m:ctrlPr>
                      <w:rPr>
                        <w:rFonts w:ascii="Cambria Math" w:hAnsi="Cambria Math" w:eastAsia="微软雅黑"/>
                        <w:sz w:val="18"/>
                        <w:szCs w:val="18"/>
                        <w:lang w:val="en-US"/>
                      </w:rPr>
                    </m:ctrlPr>
                  </m:e>
                  <m:sub>
                    <m:r>
                      <w:rPr>
                        <w:rFonts w:ascii="Cambria Math" w:hAnsi="Cambria Math" w:eastAsia="微软雅黑"/>
                        <w:sz w:val="18"/>
                        <w:szCs w:val="18"/>
                        <w:lang w:val="en-US"/>
                      </w:rPr>
                      <m:t>3ε</m:t>
                    </m:r>
                    <m:ctrlPr>
                      <w:rPr>
                        <w:rFonts w:ascii="Cambria Math" w:hAnsi="Cambria Math" w:eastAsia="微软雅黑"/>
                        <w:sz w:val="18"/>
                        <w:szCs w:val="18"/>
                        <w:lang w:val="en-US"/>
                      </w:rPr>
                    </m:ctrlPr>
                  </m:sub>
                </m:sSub>
                <m: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u</m:t>
                                </m:r>
                                <m:ctrlPr>
                                  <w:rPr>
                                    <w:rFonts w:ascii="Cambria Math" w:hAnsi="Cambria Math" w:eastAsia="微软雅黑"/>
                                    <w:i/>
                                    <w:sz w:val="18"/>
                                    <w:szCs w:val="18"/>
                                    <w:lang w:val="en-US"/>
                                  </w:rPr>
                                </m:ctrlPr>
                              </m:e>
                              <m:sup>
                                <m:r>
                                  <w:rPr>
                                    <w:rFonts w:ascii="Cambria Math" w:hAnsi="Cambria Math" w:eastAsia="微软雅黑"/>
                                    <w:sz w:val="18"/>
                                    <w:szCs w:val="18"/>
                                    <w:lang w:val="en-US"/>
                                  </w:rPr>
                                  <m:t>2</m:t>
                                </m:r>
                                <m:ctrlPr>
                                  <w:rPr>
                                    <w:rFonts w:ascii="Cambria Math" w:hAnsi="Cambria Math" w:eastAsia="微软雅黑"/>
                                    <w:i/>
                                    <w:sz w:val="18"/>
                                    <w:szCs w:val="18"/>
                                    <w:lang w:val="en-US"/>
                                  </w:rPr>
                                </m:ctrlPr>
                              </m:sup>
                            </m:sSup>
                            <m: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w</m:t>
                                </m:r>
                                <m:ctrlPr>
                                  <w:rPr>
                                    <w:rFonts w:ascii="Cambria Math" w:hAnsi="Cambria Math" w:eastAsia="微软雅黑"/>
                                    <w:i/>
                                    <w:sz w:val="18"/>
                                    <w:szCs w:val="18"/>
                                    <w:lang w:val="en-US"/>
                                  </w:rPr>
                                </m:ctrlPr>
                              </m:e>
                              <m:sup>
                                <m: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σ</m:t>
                    </m:r>
                    <m:ctrlPr>
                      <w:rPr>
                        <w:rFonts w:ascii="Cambria Math" w:hAnsi="Cambria Math" w:eastAsia="微软雅黑"/>
                        <w:sz w:val="18"/>
                        <w:szCs w:val="18"/>
                        <w:lang w:val="en-US"/>
                      </w:rPr>
                    </m:ctrlPr>
                  </m:e>
                  <m:sub>
                    <m: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σ</m:t>
                    </m:r>
                    <m:ctrlPr>
                      <w:rPr>
                        <w:rFonts w:ascii="Cambria Math" w:hAnsi="Cambria Math" w:eastAsia="微软雅黑"/>
                        <w:sz w:val="18"/>
                        <w:szCs w:val="18"/>
                        <w:lang w:val="en-US"/>
                      </w:rPr>
                    </m:ctrlPr>
                  </m:e>
                  <m:sub>
                    <m: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pPr>
              <w:pStyle w:val="3"/>
              <w:spacing w:line="240" w:lineRule="atLeast"/>
              <w:ind w:firstLine="0" w:firstLineChars="0"/>
              <w:jc w:val="left"/>
              <w:rPr>
                <w:rFonts w:ascii="微软雅黑" w:hAnsi="微软雅黑" w:eastAsia="微软雅黑"/>
                <w:sz w:val="18"/>
                <w:szCs w:val="1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α</m:t>
                  </m:r>
                  <m:ctrlPr>
                    <w:rPr>
                      <w:rFonts w:ascii="Cambria Math" w:hAnsi="Cambria Math" w:eastAsia="微软雅黑"/>
                      <w:sz w:val="18"/>
                      <w:szCs w:val="18"/>
                      <w:lang w:val="en-US"/>
                    </w:rPr>
                  </m:ctrlPr>
                </m:e>
                <m:sub>
                  <m: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α</m:t>
                  </m:r>
                  <m:ctrlPr>
                    <w:rPr>
                      <w:rFonts w:ascii="Cambria Math" w:hAnsi="Cambria Math" w:eastAsia="微软雅黑"/>
                      <w:sz w:val="18"/>
                      <w:szCs w:val="18"/>
                      <w:lang w:val="en-US"/>
                    </w:rPr>
                  </m:ctrlPr>
                </m:e>
                <m:sub>
                  <m: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w:rPr>
                                  <w:rFonts w:ascii="Cambria Math" w:hAnsi="Cambria Math" w:eastAsia="微软雅黑"/>
                                  <w:sz w:val="20"/>
                                  <w:szCs w:val="18"/>
                                  <w:lang w:val="en-US"/>
                                </w:rPr>
                                <m:t>α</m:t>
                              </m:r>
                              <m:ctrlPr>
                                <w:rPr>
                                  <w:rFonts w:ascii="Cambria Math" w:hAnsi="Cambria Math" w:eastAsia="微软雅黑"/>
                                  <w:i/>
                                  <w:sz w:val="20"/>
                                  <w:szCs w:val="18"/>
                                  <w:lang w:val="en-US"/>
                                </w:rPr>
                              </m:ctrlPr>
                            </m:e>
                            <m:sub>
                              <m:r>
                                <w:rPr>
                                  <w:rFonts w:ascii="Cambria Math" w:hAnsi="Cambria Math" w:eastAsia="微软雅黑"/>
                                  <w:sz w:val="20"/>
                                  <w:szCs w:val="18"/>
                                  <w:lang w:val="en-US"/>
                                </w:rPr>
                                <m:t>0</m:t>
                              </m:r>
                              <m:ctrlPr>
                                <w:rPr>
                                  <w:rFonts w:ascii="Cambria Math" w:hAnsi="Cambria Math" w:eastAsia="微软雅黑"/>
                                  <w:i/>
                                  <w:sz w:val="20"/>
                                  <w:szCs w:val="18"/>
                                  <w:lang w:val="en-US"/>
                                </w:rPr>
                              </m:ctrlPr>
                            </m:sub>
                          </m:sSub>
                          <m: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w:rPr>
                                  <w:rFonts w:ascii="Cambria Math" w:hAnsi="Cambria Math" w:eastAsia="微软雅黑"/>
                                  <w:sz w:val="20"/>
                                  <w:szCs w:val="18"/>
                                  <w:lang w:val="en-US"/>
                                </w:rPr>
                                <m:t>α</m:t>
                              </m:r>
                              <m:ctrlPr>
                                <w:rPr>
                                  <w:rFonts w:ascii="Cambria Math" w:hAnsi="Cambria Math" w:eastAsia="微软雅黑"/>
                                  <w:i/>
                                  <w:sz w:val="20"/>
                                  <w:szCs w:val="18"/>
                                  <w:lang w:val="en-US"/>
                                </w:rPr>
                              </m:ctrlPr>
                            </m:e>
                            <m:sub>
                              <m:r>
                                <w:rPr>
                                  <w:rFonts w:ascii="Cambria Math" w:hAnsi="Cambria Math" w:eastAsia="微软雅黑"/>
                                  <w:sz w:val="20"/>
                                  <w:szCs w:val="18"/>
                                  <w:lang w:val="en-US"/>
                                </w:rPr>
                                <m:t>0</m:t>
                              </m:r>
                              <m:ctrlPr>
                                <w:rPr>
                                  <w:rFonts w:ascii="Cambria Math" w:hAnsi="Cambria Math" w:eastAsia="微软雅黑"/>
                                  <w:i/>
                                  <w:sz w:val="20"/>
                                  <w:szCs w:val="18"/>
                                  <w:lang w:val="en-US"/>
                                </w:rPr>
                              </m:ctrlPr>
                            </m:sub>
                          </m:sSub>
                          <m: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w:rPr>
                      <w:rFonts w:ascii="Cambria Math" w:hAnsi="Cambria Math" w:eastAsia="微软雅黑"/>
                      <w:sz w:val="20"/>
                      <w:szCs w:val="18"/>
                      <w:lang w:val="en-US"/>
                    </w:rPr>
                    <m:t>0.3679</m:t>
                  </m:r>
                  <m:ctrlPr>
                    <w:rPr>
                      <w:rFonts w:ascii="Cambria Math" w:hAnsi="Cambria Math" w:eastAsia="微软雅黑"/>
                      <w:sz w:val="20"/>
                      <w:szCs w:val="18"/>
                      <w:lang w:val="en-US"/>
                    </w:rPr>
                  </m:ctrlPr>
                </m:sup>
              </m:sSup>
              <m: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w:rPr>
                          <w:rFonts w:ascii="Cambria Math" w:hAnsi="Cambria Math" w:eastAsia="微软雅黑"/>
                          <w:sz w:val="20"/>
                          <w:szCs w:val="18"/>
                          <w:lang w:val="en-US"/>
                        </w:rPr>
                        <m:t>μ</m:t>
                      </m:r>
                      <m:ctrlPr>
                        <w:rPr>
                          <w:rFonts w:ascii="Cambria Math" w:hAnsi="Cambria Math" w:eastAsia="微软雅黑"/>
                          <w:i/>
                          <w:sz w:val="20"/>
                          <w:szCs w:val="18"/>
                          <w:lang w:val="en-US"/>
                        </w:rPr>
                      </m:ctrlPr>
                    </m:e>
                    <m:sub>
                      <m: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α</m:t>
                  </m:r>
                  <m:ctrlPr>
                    <w:rPr>
                      <w:rFonts w:ascii="Cambria Math" w:hAnsi="Cambria Math" w:eastAsia="微软雅黑"/>
                      <w:sz w:val="18"/>
                      <w:szCs w:val="18"/>
                      <w:lang w:val="en-US"/>
                    </w:rPr>
                  </m:ctrlPr>
                </m:e>
                <m:sub>
                  <m:r>
                    <w:rPr>
                      <w:rFonts w:ascii="Cambria Math" w:hAnsi="Cambria Math" w:eastAsia="微软雅黑"/>
                      <w:sz w:val="18"/>
                      <w:szCs w:val="18"/>
                      <w:lang w:val="en-US"/>
                    </w:rPr>
                    <m:t>0</m:t>
                  </m:r>
                  <m:ctrlPr>
                    <w:rPr>
                      <w:rFonts w:ascii="Cambria Math" w:hAnsi="Cambria Math" w:eastAsia="微软雅黑"/>
                      <w:sz w:val="18"/>
                      <w:szCs w:val="18"/>
                      <w:lang w:val="en-US"/>
                    </w:rPr>
                  </m:ctrlPr>
                </m:sub>
              </m:sSub>
              <m:r>
                <w:rPr>
                  <w:rFonts w:ascii="Cambria Math" w:hAnsi="Cambria Math" w:eastAsia="微软雅黑"/>
                  <w:sz w:val="18"/>
                  <w:szCs w:val="18"/>
                  <w:lang w:val="en-US"/>
                </w:rPr>
                <m:t>=1.0</m:t>
              </m:r>
            </m:oMath>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μ</m:t>
                  </m:r>
                  <m:ctrlPr>
                    <w:rPr>
                      <w:rFonts w:ascii="Cambria Math" w:hAnsi="Cambria Math" w:eastAsia="微软雅黑"/>
                      <w:sz w:val="18"/>
                      <w:szCs w:val="18"/>
                      <w:lang w:val="en-US"/>
                    </w:rPr>
                  </m:ctrlPr>
                </m:e>
                <m:sub>
                  <m: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α</m:t>
                  </m:r>
                  <m:ctrlPr>
                    <w:rPr>
                      <w:rFonts w:ascii="Cambria Math" w:hAnsi="Cambria Math" w:eastAsia="微软雅黑"/>
                      <w:sz w:val="18"/>
                      <w:szCs w:val="18"/>
                      <w:lang w:val="en-US"/>
                    </w:rPr>
                  </m:ctrlPr>
                </m:e>
                <m:sub>
                  <m: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α</m:t>
                  </m:r>
                  <m:ctrlPr>
                    <w:rPr>
                      <w:rFonts w:ascii="Cambria Math" w:hAnsi="Cambria Math" w:eastAsia="微软雅黑"/>
                      <w:sz w:val="18"/>
                      <w:szCs w:val="18"/>
                      <w:lang w:val="en-US"/>
                    </w:rPr>
                  </m:ctrlPr>
                </m:e>
                <m:sub>
                  <m:r>
                    <w:rPr>
                      <w:rFonts w:ascii="Cambria Math" w:hAnsi="Cambria Math" w:eastAsia="微软雅黑"/>
                      <w:sz w:val="18"/>
                      <w:szCs w:val="18"/>
                      <w:lang w:val="en-US"/>
                    </w:rPr>
                    <m:t>ε</m:t>
                  </m:r>
                  <m:ctrlPr>
                    <w:rPr>
                      <w:rFonts w:ascii="Cambria Math" w:hAnsi="Cambria Math" w:eastAsia="微软雅黑"/>
                      <w:sz w:val="18"/>
                      <w:szCs w:val="18"/>
                      <w:lang w:val="en-US"/>
                    </w:rPr>
                  </m:ctrlPr>
                </m:sub>
              </m:sSub>
              <m:r>
                <w:rPr>
                  <w:rFonts w:ascii="Cambria Math" w:hAnsi="Cambria Math" w:eastAsia="微软雅黑"/>
                  <w:sz w:val="18"/>
                  <w:szCs w:val="18"/>
                  <w:lang w:val="en-US"/>
                </w:rPr>
                <m:t>≈1.393</m:t>
              </m:r>
            </m:oMath>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w:rPr>
                      <w:rFonts w:ascii="Cambria Math" w:hAnsi="Cambria Math" w:eastAsia="微软雅黑"/>
                      <w:sz w:val="20"/>
                      <w:szCs w:val="18"/>
                      <w:lang w:val="en-US"/>
                    </w:rPr>
                    <m:t>R</m:t>
                  </m:r>
                  <m:ctrlPr>
                    <w:rPr>
                      <w:rFonts w:ascii="Cambria Math" w:hAnsi="Cambria Math" w:eastAsia="微软雅黑"/>
                      <w:sz w:val="20"/>
                      <w:szCs w:val="18"/>
                      <w:lang w:val="en-US"/>
                    </w:rPr>
                  </m:ctrlPr>
                </m:e>
                <m:sub>
                  <m: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w:rPr>
                          <w:rFonts w:ascii="Cambria Math" w:hAnsi="Cambria Math" w:eastAsia="微软雅黑"/>
                          <w:sz w:val="20"/>
                          <w:szCs w:val="18"/>
                          <w:lang w:val="en-US"/>
                        </w:rPr>
                        <m:t>C</m:t>
                      </m:r>
                      <m:ctrlPr>
                        <w:rPr>
                          <w:rFonts w:ascii="Cambria Math" w:hAnsi="Cambria Math" w:eastAsia="微软雅黑"/>
                          <w:i/>
                          <w:sz w:val="20"/>
                          <w:szCs w:val="18"/>
                          <w:lang w:val="en-US"/>
                        </w:rPr>
                      </m:ctrlPr>
                    </m:e>
                    <m:sub>
                      <m:r>
                        <w:rPr>
                          <w:rFonts w:ascii="Cambria Math" w:hAnsi="Cambria Math" w:eastAsia="微软雅黑"/>
                          <w:sz w:val="20"/>
                          <w:szCs w:val="18"/>
                          <w:lang w:val="en-US"/>
                        </w:rPr>
                        <m:t>μ</m:t>
                      </m:r>
                      <m:ctrlPr>
                        <w:rPr>
                          <w:rFonts w:ascii="Cambria Math" w:hAnsi="Cambria Math" w:eastAsia="微软雅黑"/>
                          <w:i/>
                          <w:sz w:val="20"/>
                          <w:szCs w:val="18"/>
                          <w:lang w:val="en-US"/>
                        </w:rPr>
                      </m:ctrlPr>
                    </m:sub>
                  </m:sSub>
                  <m: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w:rPr>
                          <w:rFonts w:ascii="Cambria Math" w:hAnsi="Cambria Math" w:eastAsia="微软雅黑"/>
                          <w:sz w:val="20"/>
                          <w:szCs w:val="18"/>
                          <w:lang w:val="en-US"/>
                        </w:rPr>
                        <m:t>η</m:t>
                      </m:r>
                      <m:ctrlPr>
                        <w:rPr>
                          <w:rFonts w:ascii="Cambria Math" w:hAnsi="Cambria Math" w:eastAsia="微软雅黑"/>
                          <w:i/>
                          <w:sz w:val="20"/>
                          <w:szCs w:val="18"/>
                          <w:lang w:val="en-US"/>
                        </w:rPr>
                      </m:ctrlPr>
                    </m:e>
                    <m:sup>
                      <m:r>
                        <w:rPr>
                          <w:rFonts w:ascii="Cambria Math" w:hAnsi="Cambria Math" w:eastAsia="微软雅黑"/>
                          <w:sz w:val="20"/>
                          <w:szCs w:val="18"/>
                          <w:lang w:val="en-US"/>
                        </w:rPr>
                        <m:t>3</m:t>
                      </m:r>
                      <m:ctrlPr>
                        <w:rPr>
                          <w:rFonts w:ascii="Cambria Math" w:hAnsi="Cambria Math" w:eastAsia="微软雅黑"/>
                          <w:i/>
                          <w:sz w:val="20"/>
                          <w:szCs w:val="18"/>
                          <w:lang w:val="en-US"/>
                        </w:rPr>
                      </m:ctrlPr>
                    </m:sup>
                  </m:sSup>
                  <m: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w:rPr>
                              <w:rFonts w:ascii="Cambria Math" w:hAnsi="Cambria Math" w:eastAsia="微软雅黑"/>
                              <w:sz w:val="20"/>
                              <w:szCs w:val="18"/>
                              <w:lang w:val="en-US"/>
                            </w:rPr>
                            <m:t>η</m:t>
                          </m:r>
                          <m:ctrlPr>
                            <w:rPr>
                              <w:rFonts w:ascii="Cambria Math" w:hAnsi="Cambria Math" w:eastAsia="微软雅黑"/>
                              <w:i/>
                              <w:sz w:val="20"/>
                              <w:szCs w:val="18"/>
                              <w:lang w:val="en-US"/>
                            </w:rPr>
                          </m:ctrlPr>
                        </m:e>
                        <m:sub>
                          <m: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w:rPr>
                      <w:rFonts w:ascii="Cambria Math" w:hAnsi="Cambria Math" w:eastAsia="微软雅黑"/>
                      <w:sz w:val="20"/>
                      <w:szCs w:val="18"/>
                      <w:lang w:val="en-US"/>
                    </w:rPr>
                    <m:t>)</m:t>
                  </m:r>
                  <m:ctrlPr>
                    <w:rPr>
                      <w:rFonts w:ascii="Cambria Math" w:hAnsi="Cambria Math" w:eastAsia="微软雅黑"/>
                      <w:sz w:val="20"/>
                      <w:szCs w:val="18"/>
                      <w:lang w:val="en-US"/>
                    </w:rPr>
                  </m:ctrlPr>
                </m:num>
                <m:den>
                  <m: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w:rPr>
                          <w:rFonts w:ascii="Cambria Math" w:hAnsi="Cambria Math" w:eastAsia="微软雅黑"/>
                          <w:sz w:val="20"/>
                          <w:szCs w:val="18"/>
                          <w:lang w:val="en-US"/>
                        </w:rPr>
                        <m:t>η</m:t>
                      </m:r>
                      <m:ctrlPr>
                        <w:rPr>
                          <w:rFonts w:ascii="Cambria Math" w:hAnsi="Cambria Math" w:eastAsia="微软雅黑"/>
                          <w:i/>
                          <w:sz w:val="20"/>
                          <w:szCs w:val="18"/>
                          <w:lang w:val="en-US"/>
                        </w:rPr>
                      </m:ctrlPr>
                    </m:e>
                    <m:sup>
                      <m:r>
                        <w:rPr>
                          <w:rFonts w:ascii="Cambria Math" w:hAnsi="Cambria Math" w:eastAsia="微软雅黑"/>
                          <w:sz w:val="20"/>
                          <w:szCs w:val="18"/>
                          <w:lang w:val="en-US"/>
                        </w:rPr>
                        <m:t>3</m:t>
                      </m:r>
                      <m:ctrlPr>
                        <w:rPr>
                          <w:rFonts w:ascii="Cambria Math" w:hAnsi="Cambria Math" w:eastAsia="微软雅黑"/>
                          <w:i/>
                          <w:sz w:val="20"/>
                          <w:szCs w:val="18"/>
                          <w:lang w:val="en-US"/>
                        </w:rPr>
                      </m:ctrlPr>
                    </m:sup>
                  </m:sSup>
                  <m:r>
                    <w:rPr>
                      <w:rFonts w:ascii="Cambria Math" w:hAnsi="Cambria Math" w:eastAsia="微软雅黑"/>
                      <w:sz w:val="20"/>
                      <w:szCs w:val="18"/>
                      <w:lang w:val="en-US"/>
                    </w:rPr>
                    <m:t>)</m:t>
                  </m:r>
                  <m:ctrlPr>
                    <w:rPr>
                      <w:rFonts w:ascii="Cambria Math" w:hAnsi="Cambria Math" w:eastAsia="微软雅黑"/>
                      <w:sz w:val="20"/>
                      <w:szCs w:val="18"/>
                      <w:lang w:val="en-US"/>
                    </w:rPr>
                  </m:ctrlPr>
                </m:den>
              </m:f>
              <m: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w:rPr>
                          <w:rFonts w:ascii="Cambria Math" w:hAnsi="Cambria Math" w:eastAsia="微软雅黑"/>
                          <w:sz w:val="20"/>
                          <w:szCs w:val="18"/>
                          <w:lang w:val="en-US"/>
                        </w:rPr>
                        <m:t>ε</m:t>
                      </m:r>
                      <m:ctrlPr>
                        <w:rPr>
                          <w:rFonts w:ascii="Cambria Math" w:hAnsi="Cambria Math" w:eastAsia="微软雅黑"/>
                          <w:i/>
                          <w:sz w:val="20"/>
                          <w:szCs w:val="18"/>
                          <w:lang w:val="en-US"/>
                        </w:rPr>
                      </m:ctrlPr>
                    </m:e>
                    <m:sup>
                      <m: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w:rPr>
                      <w:rFonts w:ascii="Cambria Math" w:hAnsi="Cambria Math" w:eastAsia="微软雅黑"/>
                      <w:sz w:val="20"/>
                      <w:szCs w:val="18"/>
                      <w:lang w:val="en-US"/>
                    </w:rPr>
                    <m:t>S</m:t>
                  </m:r>
                  <m: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η</m:t>
                  </m:r>
                  <m:ctrlPr>
                    <w:rPr>
                      <w:rFonts w:ascii="Cambria Math" w:hAnsi="Cambria Math" w:eastAsia="微软雅黑"/>
                      <w:sz w:val="18"/>
                      <w:szCs w:val="18"/>
                      <w:lang w:val="en-US"/>
                    </w:rPr>
                  </m:ctrlPr>
                </m:e>
                <m:sub>
                  <m: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pPr>
        <w:pStyle w:val="3"/>
        <w:ind w:firstLine="525" w:firstLineChars="250"/>
        <w:rPr>
          <w:rFonts w:ascii="微软雅黑" w:hAnsi="微软雅黑" w:eastAsia="微软雅黑"/>
        </w:rPr>
      </w:pPr>
    </w:p>
    <w:p>
      <w:pPr>
        <w:pStyle w:val="5"/>
      </w:pPr>
      <w:r>
        <w:rPr>
          <w:rFonts w:hint="eastAsia"/>
        </w:rPr>
        <w:t>算法说明</w:t>
      </w:r>
    </w:p>
    <w:p>
      <w:pPr>
        <w:pStyle w:val="3"/>
        <w:ind w:firstLine="420"/>
        <w:rPr>
          <w:rFonts w:ascii="微软雅黑" w:hAnsi="微软雅黑" w:eastAsia="微软雅黑"/>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pPr>
        <w:pStyle w:val="4"/>
      </w:pPr>
      <w:bookmarkStart w:id="57" w:name="_Toc509844747"/>
      <w:bookmarkStart w:id="58" w:name="_Toc29122"/>
      <w:r>
        <w:rPr>
          <w:rFonts w:hint="eastAsia"/>
        </w:rPr>
        <w:t>风速放大系数计算</w:t>
      </w:r>
      <w:bookmarkEnd w:id="57"/>
      <w:bookmarkEnd w:id="58"/>
    </w:p>
    <w:p>
      <w:pPr>
        <w:pStyle w:val="3"/>
        <w:ind w:firstLine="420"/>
        <w:rPr>
          <w:rFonts w:ascii="微软雅黑" w:hAnsi="微软雅黑" w:eastAsia="微软雅黑"/>
          <w:lang w:val="en-US"/>
        </w:rPr>
      </w:pPr>
      <w:r>
        <w:rPr>
          <w:rFonts w:hint="eastAsia" w:ascii="微软雅黑" w:hAnsi="微软雅黑" w:eastAsia="微软雅黑"/>
          <w:lang w:val="en-US"/>
        </w:rPr>
        <w:t>风速放大系数反映了高层建筑对风速的放大作用，通常指建筑物周围离地面高</w:t>
      </w:r>
      <w:r>
        <w:rPr>
          <w:rFonts w:ascii="微软雅黑" w:hAnsi="微软雅黑" w:eastAsia="微软雅黑"/>
          <w:lang w:val="en-US"/>
        </w:rPr>
        <w:t>1.5m</w:t>
      </w:r>
      <w:r>
        <w:rPr>
          <w:rFonts w:hint="eastAsia" w:ascii="微软雅黑" w:hAnsi="微软雅黑" w:eastAsia="微软雅黑"/>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3"/>
        <w:gridCol w:w="1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w:rPr>
                                <w:rFonts w:ascii="Cambria Math" w:hAnsi="Cambria Math" w:eastAsia="微软雅黑"/>
                                <w:lang w:val="en-US"/>
                              </w:rPr>
                              <m:t>v</m:t>
                            </m:r>
                            <m:ctrlPr>
                              <w:rPr>
                                <w:rFonts w:ascii="Cambria Math" w:hAnsi="Cambria Math" w:eastAsia="微软雅黑"/>
                                <w:i/>
                                <w:lang w:val="en-US"/>
                              </w:rPr>
                            </m:ctrlPr>
                          </m:e>
                          <m:sup>
                            <m:r>
                              <w:rPr>
                                <w:rFonts w:ascii="Cambria Math" w:hAnsi="Cambria Math" w:eastAsia="微软雅黑"/>
                                <w:lang w:val="en-US"/>
                              </w:rPr>
                              <m:t>'</m:t>
                            </m:r>
                            <m:ctrlPr>
                              <w:rPr>
                                <w:rFonts w:ascii="Cambria Math" w:hAnsi="Cambria Math" w:eastAsia="微软雅黑"/>
                                <w:i/>
                                <w:lang w:val="en-US"/>
                              </w:rPr>
                            </m:ctrlPr>
                          </m:sup>
                        </m:sSup>
                        <m: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w:rPr>
                                    <w:rFonts w:ascii="Cambria Math" w:hAnsi="Cambria Math" w:eastAsia="微软雅黑"/>
                                    <w:lang w:val="en-US"/>
                                  </w:rPr>
                                  <m:t>v</m:t>
                                </m:r>
                                <m:ctrlPr>
                                  <w:rPr>
                                    <w:rFonts w:ascii="Cambria Math" w:hAnsi="Cambria Math" w:eastAsia="微软雅黑"/>
                                    <w:i/>
                                    <w:lang w:val="en-US"/>
                                  </w:rPr>
                                </m:ctrlPr>
                              </m:e>
                              <m:sub>
                                <m: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w:rPr>
                                    <w:rFonts w:ascii="Cambria Math" w:hAnsi="Cambria Math" w:eastAsia="微软雅黑"/>
                                    <w:lang w:val="en-US"/>
                                  </w:rPr>
                                  <m:t>v</m:t>
                                </m:r>
                                <m:ctrlPr>
                                  <w:rPr>
                                    <w:rFonts w:ascii="Cambria Math" w:hAnsi="Cambria Math" w:eastAsia="微软雅黑"/>
                                    <w:i/>
                                    <w:lang w:val="en-US"/>
                                  </w:rPr>
                                </m:ctrlPr>
                              </m:e>
                              <m:sub>
                                <m: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w:rPr>
                                <w:rFonts w:ascii="Cambria Math" w:hAnsi="Cambria Math" w:eastAsia="微软雅黑"/>
                                <w:lang w:val="en-US"/>
                              </w:rPr>
                              <m:t>v</m:t>
                            </m:r>
                            <m:ctrlPr>
                              <w:rPr>
                                <w:rFonts w:ascii="Cambria Math" w:hAnsi="Cambria Math" w:eastAsia="微软雅黑"/>
                                <w:i/>
                                <w:lang w:val="en-US"/>
                              </w:rPr>
                            </m:ctrlPr>
                          </m:e>
                          <m:sub>
                            <m:r>
                              <w:rPr>
                                <w:rFonts w:ascii="Cambria Math" w:hAnsi="Cambria Math" w:eastAsia="微软雅黑"/>
                                <w:lang w:val="en-US"/>
                              </w:rPr>
                              <m:t>1.5f</m:t>
                            </m:r>
                            <m:ctrlPr>
                              <w:rPr>
                                <w:rFonts w:ascii="Cambria Math" w:hAnsi="Cambria Math" w:eastAsia="微软雅黑"/>
                                <w:i/>
                                <w:lang w:val="en-US"/>
                              </w:rPr>
                            </m:ctrlPr>
                          </m:sub>
                        </m:sSub>
                        <m:r>
                          <w:rPr>
                            <w:rFonts w:ascii="Cambria Math" w:hAnsi="Cambria Math" w:eastAsia="微软雅黑"/>
                            <w:lang w:val="en-US"/>
                          </w:rPr>
                          <m:t>=</m:t>
                        </m:r>
                        <m:sSub>
                          <m:sSubPr>
                            <m:ctrlPr>
                              <w:rPr>
                                <w:rFonts w:ascii="Cambria Math" w:hAnsi="Cambria Math" w:eastAsia="微软雅黑"/>
                                <w:i/>
                                <w:lang w:val="en-US"/>
                              </w:rPr>
                            </m:ctrlPr>
                          </m:sSubPr>
                          <m:e>
                            <m:r>
                              <w:rPr>
                                <w:rFonts w:ascii="Cambria Math" w:hAnsi="Cambria Math" w:eastAsia="微软雅黑"/>
                                <w:lang w:val="en-US"/>
                              </w:rPr>
                              <m:t>v</m:t>
                            </m:r>
                            <m:ctrlPr>
                              <w:rPr>
                                <w:rFonts w:ascii="Cambria Math" w:hAnsi="Cambria Math" w:eastAsia="微软雅黑"/>
                                <w:i/>
                                <w:lang w:val="en-US"/>
                              </w:rPr>
                            </m:ctrlPr>
                          </m:e>
                          <m:sub>
                            <m: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w:rPr>
                                        <w:rFonts w:ascii="Cambria Math" w:hAnsi="Cambria Math" w:eastAsia="微软雅黑"/>
                                        <w:lang w:val="en-US"/>
                                      </w:rPr>
                                      <m:t>1.5</m:t>
                                    </m:r>
                                    <m:ctrlPr>
                                      <w:rPr>
                                        <w:rFonts w:ascii="Cambria Math" w:hAnsi="Cambria Math" w:eastAsia="微软雅黑"/>
                                        <w:i/>
                                        <w:lang w:val="en-US"/>
                                      </w:rPr>
                                    </m:ctrlPr>
                                  </m:num>
                                  <m:den>
                                    <m: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spacing w:line="360" w:lineRule="exact"/>
              <w:rPr>
                <w:lang w:val="en-US"/>
              </w:rPr>
            </w:pPr>
          </w:p>
        </w:tc>
        <w:tc>
          <w:tcPr>
            <w:tcW w:w="1832" w:type="dxa"/>
            <w:vAlign w:val="center"/>
          </w:tcPr>
          <w:p>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rFonts w:ascii="微软雅黑" w:hAnsi="微软雅黑" w:eastAsia="微软雅黑"/>
          <w:lang w:val="en-US"/>
        </w:rPr>
      </w:pPr>
      <w:r>
        <w:rPr>
          <w:rFonts w:hint="eastAsia" w:ascii="微软雅黑" w:hAnsi="微软雅黑" w:eastAsia="微软雅黑"/>
          <w:lang w:val="en-US"/>
        </w:rPr>
        <w:t>其中：</w:t>
      </w:r>
    </w:p>
    <w:p>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2.7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微软雅黑" w:hAnsi="微软雅黑" w:eastAsia="微软雅黑"/>
        </w:rPr>
        <w:t>——风速放大系数；</w:t>
      </w:r>
    </w:p>
    <w:p>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75pt;width:23.25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18.75pt;width:23.25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18.75pt;width:18.7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59" w:name="地面粗糙度指数"/>
      <w:r>
        <w:rPr>
          <w:rFonts w:hint="eastAsia" w:ascii="微软雅黑" w:hAnsi="微软雅黑" w:eastAsia="微软雅黑"/>
          <w:lang w:val="en-US"/>
        </w:rPr>
        <w:t>0.28</w:t>
      </w:r>
      <w:bookmarkEnd w:id="59"/>
      <w:r>
        <w:rPr>
          <w:rFonts w:hint="eastAsia" w:ascii="微软雅黑" w:hAnsi="微软雅黑" w:eastAsia="微软雅黑"/>
          <w:lang w:val="en-US"/>
        </w:rPr>
        <w:t>；</w:t>
      </w:r>
    </w:p>
    <w:p>
      <w:pPr>
        <w:pStyle w:val="2"/>
        <w:rPr>
          <w:rFonts w:ascii="微软雅黑" w:hAnsi="微软雅黑"/>
        </w:rPr>
      </w:pPr>
      <w:bookmarkStart w:id="60" w:name="_Toc452108768"/>
      <w:bookmarkStart w:id="61" w:name="_Toc2416"/>
      <w:r>
        <w:rPr>
          <w:rFonts w:hint="eastAsia" w:ascii="微软雅黑" w:hAnsi="微软雅黑"/>
        </w:rPr>
        <w:t>结果</w:t>
      </w:r>
      <w:r>
        <w:rPr>
          <w:rFonts w:ascii="微软雅黑" w:hAnsi="微软雅黑"/>
        </w:rPr>
        <w:t>分析</w:t>
      </w:r>
      <w:bookmarkEnd w:id="60"/>
      <w:bookmarkEnd w:id="61"/>
    </w:p>
    <w:p>
      <w:pPr>
        <w:pStyle w:val="4"/>
        <w:rPr>
          <w:szCs w:val="21"/>
        </w:rPr>
      </w:pPr>
      <w:bookmarkStart w:id="62" w:name="_Toc25271"/>
      <w:r>
        <w:rPr>
          <w:rFonts w:hint="eastAsia"/>
          <w:szCs w:val="21"/>
        </w:rPr>
        <w:t>工况</w:t>
      </w:r>
      <w:r>
        <w:rPr>
          <w:szCs w:val="21"/>
        </w:rPr>
        <w:t>表</w:t>
      </w:r>
      <w:bookmarkEnd w:id="62"/>
    </w:p>
    <w:p>
      <w:pPr>
        <w:pStyle w:val="3"/>
        <w:ind w:firstLine="420"/>
        <w:rPr>
          <w:rFonts w:ascii="微软雅黑" w:hAnsi="微软雅黑" w:eastAsia="微软雅黑"/>
        </w:rPr>
      </w:pPr>
      <w:r>
        <w:rPr>
          <w:rFonts w:hint="eastAsia" w:ascii="微软雅黑" w:hAnsi="微软雅黑" w:eastAsia="微软雅黑"/>
        </w:rPr>
        <w:t>本结果基于以下几个工况进行计算：</w:t>
      </w:r>
    </w:p>
    <w:tbl>
      <w:tblPr>
        <w:tblStyle w:val="2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tcPr>
          <w:p>
            <w:pPr>
              <w:spacing w:line="400" w:lineRule="exact"/>
              <w:jc w:val="center"/>
              <w:rPr>
                <w:sz w:val="18"/>
                <w:szCs w:val="18"/>
              </w:rPr>
            </w:pPr>
            <w:bookmarkStart w:id="63" w:name="计算工况表"/>
            <w:r>
              <w:rPr>
                <w:rFonts w:hint="eastAsia"/>
                <w:sz w:val="18"/>
                <w:szCs w:val="18"/>
              </w:rPr>
              <w:t>序号</w:t>
            </w:r>
          </w:p>
        </w:tc>
        <w:tc>
          <w:tcPr>
            <w:tcW w:w="1166" w:type="pct"/>
            <w:shd w:val="clear" w:color="auto" w:fill="E6E6E6"/>
            <w:vAlign w:val="center"/>
          </w:tcPr>
          <w:p>
            <w:pPr>
              <w:spacing w:line="400" w:lineRule="exact"/>
              <w:jc w:val="center"/>
              <w:rPr>
                <w:sz w:val="18"/>
                <w:szCs w:val="18"/>
              </w:rPr>
            </w:pPr>
            <w:r>
              <w:rPr>
                <w:rFonts w:hint="eastAsia"/>
                <w:sz w:val="18"/>
                <w:szCs w:val="18"/>
              </w:rPr>
              <w:t>季节</w:t>
            </w:r>
          </w:p>
        </w:tc>
        <w:tc>
          <w:tcPr>
            <w:tcW w:w="1187" w:type="pct"/>
            <w:shd w:val="clear" w:color="auto" w:fill="E6E6E6"/>
            <w:vAlign w:val="center"/>
          </w:tcPr>
          <w:p>
            <w:pPr>
              <w:spacing w:line="400" w:lineRule="exact"/>
              <w:jc w:val="center"/>
              <w:rPr>
                <w:sz w:val="18"/>
                <w:szCs w:val="18"/>
              </w:rPr>
            </w:pPr>
            <w:r>
              <w:rPr>
                <w:rFonts w:hint="eastAsia"/>
                <w:sz w:val="18"/>
                <w:szCs w:val="18"/>
              </w:rPr>
              <w:t>风速</w:t>
            </w:r>
            <w:r>
              <w:rPr>
                <w:sz w:val="18"/>
                <w:szCs w:val="18"/>
              </w:rPr>
              <w:t>(m/s)</w:t>
            </w:r>
          </w:p>
        </w:tc>
        <w:tc>
          <w:tcPr>
            <w:tcW w:w="994" w:type="pct"/>
            <w:shd w:val="clear" w:color="auto" w:fill="E6E6E6"/>
          </w:tcPr>
          <w:p>
            <w:pPr>
              <w:spacing w:line="400" w:lineRule="exact"/>
              <w:jc w:val="center"/>
              <w:rPr>
                <w:sz w:val="18"/>
                <w:szCs w:val="18"/>
              </w:rPr>
            </w:pPr>
            <w:r>
              <w:rPr>
                <w:rFonts w:hint="eastAsia"/>
                <w:sz w:val="18"/>
                <w:szCs w:val="18"/>
              </w:rPr>
              <w:t>风向</w:t>
            </w:r>
          </w:p>
        </w:tc>
        <w:tc>
          <w:tcPr>
            <w:tcW w:w="994" w:type="pct"/>
            <w:shd w:val="clear" w:color="auto" w:fill="E6E6E6"/>
          </w:tcPr>
          <w:p>
            <w:pPr>
              <w:spacing w:line="400" w:lineRule="exact"/>
              <w:jc w:val="center"/>
              <w:rPr>
                <w:sz w:val="18"/>
                <w:szCs w:val="18"/>
              </w:rPr>
            </w:pPr>
            <w:r>
              <w:rPr>
                <w:rFonts w:hint="eastAsia"/>
                <w:sz w:val="18"/>
                <w:szCs w:val="18"/>
              </w:rPr>
              <w:t>风向（°</w:t>
            </w: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pPr>
              <w:spacing w:line="400" w:lineRule="exact"/>
              <w:jc w:val="center"/>
              <w:rPr>
                <w:sz w:val="18"/>
                <w:szCs w:val="18"/>
              </w:rPr>
            </w:pPr>
            <w:r>
              <w:rPr>
                <w:sz w:val="18"/>
                <w:szCs w:val="18"/>
              </w:rPr>
              <w:t>1</w:t>
            </w:r>
          </w:p>
        </w:tc>
        <w:tc>
          <w:tcPr>
            <w:tcW w:w="1166" w:type="pct"/>
            <w:vAlign w:val="center"/>
          </w:tcPr>
          <w:p>
            <w:pPr>
              <w:spacing w:line="400" w:lineRule="exact"/>
              <w:jc w:val="center"/>
              <w:rPr>
                <w:sz w:val="18"/>
                <w:szCs w:val="18"/>
              </w:rPr>
            </w:pPr>
            <w:r>
              <w:rPr>
                <w:sz w:val="18"/>
                <w:szCs w:val="18"/>
              </w:rPr>
              <w:t>夏季</w:t>
            </w:r>
          </w:p>
        </w:tc>
        <w:tc>
          <w:tcPr>
            <w:tcW w:w="1187" w:type="pct"/>
            <w:vAlign w:val="center"/>
          </w:tcPr>
          <w:p>
            <w:pPr>
              <w:spacing w:line="400" w:lineRule="exact"/>
              <w:jc w:val="center"/>
              <w:rPr>
                <w:sz w:val="18"/>
                <w:szCs w:val="18"/>
              </w:rPr>
            </w:pPr>
            <w:r>
              <w:rPr>
                <w:sz w:val="18"/>
                <w:szCs w:val="18"/>
              </w:rPr>
              <w:t>4.60</w:t>
            </w:r>
          </w:p>
        </w:tc>
        <w:tc>
          <w:tcPr>
            <w:tcW w:w="994" w:type="pct"/>
          </w:tcPr>
          <w:p>
            <w:pPr>
              <w:spacing w:line="400" w:lineRule="exact"/>
              <w:jc w:val="center"/>
              <w:rPr>
                <w:sz w:val="18"/>
                <w:szCs w:val="18"/>
              </w:rPr>
            </w:pPr>
            <w:r>
              <w:rPr>
                <w:sz w:val="18"/>
                <w:szCs w:val="18"/>
              </w:rPr>
              <w:t>WSW</w:t>
            </w:r>
          </w:p>
        </w:tc>
        <w:tc>
          <w:tcPr>
            <w:tcW w:w="994" w:type="pct"/>
          </w:tcPr>
          <w:p>
            <w:pPr>
              <w:spacing w:line="400" w:lineRule="exact"/>
              <w:jc w:val="center"/>
              <w:rPr>
                <w:sz w:val="18"/>
                <w:szCs w:val="18"/>
              </w:rPr>
            </w:pPr>
            <w:r>
              <w:rPr>
                <w:sz w:val="18"/>
                <w:szCs w:val="18"/>
              </w:rPr>
              <w:t>202.5</w:t>
            </w:r>
          </w:p>
        </w:tc>
      </w:tr>
      <w:bookmarkEnd w:id="63"/>
    </w:tbl>
    <w:p>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2736000" cy="2649600"/>
                    </a:xfrm>
                    <a:prstGeom prst="rect">
                      <a:avLst/>
                    </a:prstGeom>
                  </pic:spPr>
                </pic:pic>
              </a:graphicData>
            </a:graphic>
          </wp:inline>
        </w:drawing>
      </w:r>
    </w:p>
    <w:p>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pPr>
        <w:rPr>
          <w:lang w:val="en-US"/>
        </w:rPr>
      </w:pPr>
      <w:bookmarkStart w:id="64" w:name="冬季工况"/>
      <w:bookmarkEnd w:id="64"/>
      <w:r>
        <w:rPr>
          <w:rFonts w:hint="eastAsia"/>
          <w:lang w:val="en-US"/>
        </w:rPr>
        <w:t xml:space="preserve"> </w:t>
      </w:r>
    </w:p>
    <w:p>
      <w:pPr>
        <w:pStyle w:val="4"/>
      </w:pPr>
      <w:bookmarkStart w:id="65" w:name="_Toc28571"/>
      <w:r>
        <w:rPr>
          <w:rFonts w:hint="eastAsia"/>
        </w:rPr>
        <w:t>夏季工况</w:t>
      </w:r>
      <w:bookmarkEnd w:id="65"/>
    </w:p>
    <w:p>
      <w:pPr>
        <w:ind w:firstLine="420"/>
      </w:pPr>
      <w:r>
        <w:rPr>
          <w:rFonts w:hint="eastAsia"/>
          <w:lang w:val="en-US"/>
        </w:rPr>
        <w:t>本项目夏季工况的入口边界风速为4.60m/s，风向为</w:t>
      </w:r>
      <w:r>
        <w:t>WSW</w:t>
      </w:r>
      <w:r>
        <w:rPr>
          <w:rFonts w:hint="eastAsia"/>
          <w:lang w:val="en-US"/>
        </w:rPr>
        <w:t>。</w:t>
      </w:r>
    </w:p>
    <w:p>
      <w:pPr>
        <w:ind w:firstLine="420"/>
      </w:pPr>
      <w:r>
        <w:rPr>
          <w:rFonts w:hint="eastAsia"/>
          <w:lang w:val="en-US"/>
        </w:rPr>
        <w:t>根据前述《绿色建筑评价标准》 对于夏季工况的要求，夏季典型风速和风向条件下，场地内人活动区不出现涡旋或无风区。通过该项标准指导设计确保合理的建筑布局，在夏季形成有效的巷道风，优化街区自然通风环境，避免夏季人活动区有明显气流旋涡和无风区，从而造成闷热不适感。因此本项目需要分析人活动区的风速，并作出判断。</w:t>
      </w:r>
    </w:p>
    <w:p>
      <w:pPr>
        <w:ind w:firstLine="351"/>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351" w:firstLineChars="195"/>
        <w:rPr>
          <w:rFonts w:ascii="微软雅黑" w:hAnsi="微软雅黑" w:eastAsia="微软雅黑"/>
          <w:sz w:val="18"/>
          <w:szCs w:val="18"/>
        </w:rPr>
      </w:pPr>
      <w:r>
        <w:rPr>
          <w:rFonts w:hint="eastAsia" w:ascii="微软雅黑" w:hAnsi="微软雅黑" w:eastAsia="微软雅黑"/>
          <w:sz w:val="18"/>
          <w:szCs w:val="18"/>
          <w:lang w:val="en-US"/>
        </w:rPr>
        <w:t>注：无风区的定义参考《</w:t>
      </w:r>
      <w:r>
        <w:rPr>
          <w:rFonts w:hint="eastAsia" w:ascii="微软雅黑" w:hAnsi="微软雅黑" w:eastAsia="微软雅黑"/>
          <w:sz w:val="18"/>
          <w:szCs w:val="18"/>
        </w:rPr>
        <w:t>建筑设计资料集</w:t>
      </w:r>
      <w:r>
        <w:rPr>
          <w:rFonts w:hint="eastAsia" w:ascii="微软雅黑" w:hAnsi="微软雅黑" w:eastAsia="微软雅黑"/>
          <w:sz w:val="18"/>
          <w:szCs w:val="18"/>
          <w:lang w:val="en-US"/>
        </w:rPr>
        <w:t>》第一分册，第二版。</w:t>
      </w:r>
    </w:p>
    <w:p>
      <w:pPr>
        <w:pStyle w:val="5"/>
      </w:pPr>
      <w:r>
        <w:rPr>
          <w:rFonts w:hint="eastAsia"/>
        </w:rPr>
        <w:t>无风区计算分析</w:t>
      </w:r>
    </w:p>
    <w:p>
      <w:pPr>
        <w:pStyle w:val="30"/>
        <w:ind w:firstLine="420"/>
      </w:pPr>
      <w:r>
        <w:rPr>
          <w:rFonts w:hint="eastAsia"/>
        </w:rPr>
        <w:t>下图为整个计算域内风速分布云图，参考图中速度分布可以对项目中建筑布局进行优化。分析下图，</w:t>
      </w:r>
      <w:r>
        <w:t>人活动区内未标示出风速</w:t>
      </w:r>
      <w:r>
        <w:rPr>
          <w:color w:val="0000FF"/>
        </w:rPr>
        <w:t>小于</w:t>
      </w:r>
      <w:r>
        <w:t>0.2m/s的超限区域，因此人活动区风速</w:t>
      </w:r>
      <w:r>
        <w:rPr>
          <w:color w:val="0000FF"/>
        </w:rPr>
        <w:t>满足</w:t>
      </w:r>
      <w:r>
        <w:t>绿标要求，项目可采用现有建筑布局。</w:t>
      </w:r>
    </w:p>
    <w:p>
      <w:pPr>
        <w:pStyle w:val="3"/>
        <w:spacing w:after="156" w:afterLines="50"/>
        <w:ind w:firstLine="0" w:firstLineChars="0"/>
        <w:jc w:val="center"/>
        <w:rPr>
          <w:rFonts w:ascii="微软雅黑" w:hAnsi="微软雅黑" w:eastAsia="微软雅黑"/>
        </w:rPr>
      </w:pPr>
      <w:r>
        <w:drawing>
          <wp:inline distT="0" distB="0" distL="0" distR="0">
            <wp:extent cx="5667375" cy="33242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0"/>
                    <a:stretch>
                      <a:fillRect/>
                    </a:stretch>
                  </pic:blipFill>
                  <pic:spPr>
                    <a:xfrm>
                      <a:off x="0" y="0"/>
                      <a:ext cx="5667375" cy="3324225"/>
                    </a:xfrm>
                    <a:prstGeom prst="rect">
                      <a:avLst/>
                    </a:prstGeom>
                  </pic:spPr>
                </pic:pic>
              </a:graphicData>
            </a:graphic>
          </wp:inline>
        </w:drawing>
      </w:r>
    </w:p>
    <w:p>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计算域内-1.5米高度水平面风速云图-夏季</w:t>
      </w:r>
    </w:p>
    <w:p>
      <w:pPr>
        <w:pStyle w:val="3"/>
        <w:ind w:firstLine="420"/>
        <w:rPr>
          <w:rFonts w:ascii="微软雅黑" w:hAnsi="微软雅黑" w:eastAsia="微软雅黑"/>
        </w:rPr>
      </w:pPr>
    </w:p>
    <w:p>
      <w:pPr>
        <w:pStyle w:val="5"/>
      </w:pPr>
      <w:r>
        <w:rPr>
          <w:rFonts w:hint="eastAsia"/>
        </w:rPr>
        <w:t>旋涡区分析</w:t>
      </w:r>
    </w:p>
    <w:p>
      <w:pPr>
        <w:pStyle w:val="3"/>
        <w:ind w:firstLine="420"/>
        <w:rPr>
          <w:rFonts w:ascii="微软雅黑" w:hAnsi="微软雅黑" w:eastAsia="微软雅黑"/>
          <w:lang w:val="en-US"/>
        </w:rPr>
      </w:pPr>
      <w:r>
        <w:rPr>
          <w:rFonts w:hint="eastAsia" w:ascii="微软雅黑" w:hAnsi="微软雅黑" w:eastAsia="微软雅黑"/>
          <w:lang w:val="en-US"/>
        </w:rPr>
        <w:t>下图为计算域内的风速矢量图，分析下图可知，计算域内没有明显的旋涡产生，本项目建筑布局基本合理。</w:t>
      </w:r>
    </w:p>
    <w:p>
      <w:pPr>
        <w:pStyle w:val="3"/>
        <w:ind w:firstLine="0" w:firstLineChars="0"/>
        <w:jc w:val="center"/>
        <w:rPr>
          <w:rFonts w:ascii="微软雅黑" w:hAnsi="微软雅黑" w:eastAsia="微软雅黑"/>
          <w:lang w:val="en-US"/>
        </w:rPr>
      </w:pPr>
      <w:r>
        <w:drawing>
          <wp:inline distT="0" distB="0" distL="0" distR="0">
            <wp:extent cx="5667375" cy="33337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1"/>
                    <a:stretch>
                      <a:fillRect/>
                    </a:stretch>
                  </pic:blipFill>
                  <pic:spPr>
                    <a:xfrm>
                      <a:off x="0" y="0"/>
                      <a:ext cx="5667375" cy="3333750"/>
                    </a:xfrm>
                    <a:prstGeom prst="rect">
                      <a:avLst/>
                    </a:prstGeom>
                  </pic:spPr>
                </pic:pic>
              </a:graphicData>
            </a:graphic>
          </wp:inline>
        </w:drawing>
      </w:r>
    </w:p>
    <w:p>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计算域内-1.5米高度水平面风速矢量图</w:t>
      </w:r>
    </w:p>
    <w:p>
      <w:pPr>
        <w:pStyle w:val="3"/>
        <w:ind w:firstLine="420"/>
        <w:rPr>
          <w:rFonts w:ascii="微软雅黑" w:hAnsi="微软雅黑" w:eastAsia="微软雅黑"/>
          <w:lang w:val="en-US"/>
        </w:rPr>
      </w:pPr>
    </w:p>
    <w:p>
      <w:pPr>
        <w:pStyle w:val="5"/>
      </w:pPr>
      <w:bookmarkStart w:id="66" w:name="_Toc509844762"/>
      <w:r>
        <w:rPr>
          <w:rFonts w:hint="eastAsia"/>
        </w:rPr>
        <w:t>旋涡区/无风区达标</w:t>
      </w:r>
      <w:bookmarkEnd w:id="66"/>
      <w:r>
        <w:rPr>
          <w:rFonts w:hint="eastAsia"/>
        </w:rPr>
        <w:t>结果汇总</w:t>
      </w:r>
    </w:p>
    <w:p>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夏季</w:t>
      </w:r>
      <w:bookmarkEnd w:id="13"/>
      <w:r>
        <w:rPr>
          <w:rFonts w:hint="eastAsia" w:ascii="微软雅黑" w:hAnsi="微软雅黑" w:eastAsia="微软雅黑"/>
          <w:sz w:val="18"/>
          <w:szCs w:val="18"/>
        </w:rPr>
        <w:t>无风区/旋涡区达标分析汇总</w:t>
      </w:r>
    </w:p>
    <w:tbl>
      <w:tblPr>
        <w:tblStyle w:val="21"/>
        <w:tblW w:w="8222" w:type="dxa"/>
        <w:tblInd w:w="108" w:type="dxa"/>
        <w:tblLayout w:type="autofit"/>
        <w:tblCellMar>
          <w:top w:w="0" w:type="dxa"/>
          <w:left w:w="108" w:type="dxa"/>
          <w:bottom w:w="0" w:type="dxa"/>
          <w:right w:w="108" w:type="dxa"/>
        </w:tblCellMar>
      </w:tblPr>
      <w:tblGrid>
        <w:gridCol w:w="1418"/>
        <w:gridCol w:w="2551"/>
        <w:gridCol w:w="2551"/>
        <w:gridCol w:w="1702"/>
      </w:tblGrid>
      <w:tr>
        <w:tblPrEx>
          <w:tblCellMar>
            <w:top w:w="0" w:type="dxa"/>
            <w:left w:w="108" w:type="dxa"/>
            <w:bottom w:w="0" w:type="dxa"/>
            <w:right w:w="108" w:type="dxa"/>
          </w:tblCellMar>
        </w:tblPrEx>
        <w:trPr>
          <w:trHeight w:val="270" w:hRule="atLeast"/>
        </w:trPr>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jc w:val="center"/>
              <w:rPr>
                <w:rFonts w:cs="宋体"/>
                <w:b/>
                <w:color w:val="000000"/>
                <w:sz w:val="18"/>
                <w:szCs w:val="18"/>
                <w:lang w:val="en-US"/>
              </w:rPr>
            </w:pPr>
            <w:r>
              <w:rPr>
                <w:rFonts w:hint="eastAsia" w:cs="宋体"/>
                <w:b/>
                <w:color w:val="000000"/>
                <w:sz w:val="18"/>
                <w:szCs w:val="18"/>
                <w:lang w:val="en-US"/>
              </w:rPr>
              <w:t>评价量</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440" w:lineRule="exact"/>
              <w:jc w:val="center"/>
              <w:rPr>
                <w:rFonts w:cs="宋体"/>
                <w:b/>
                <w:color w:val="000000"/>
                <w:sz w:val="18"/>
                <w:szCs w:val="18"/>
                <w:lang w:val="en-US"/>
              </w:rPr>
            </w:pPr>
            <w:r>
              <w:rPr>
                <w:rFonts w:hint="eastAsia" w:cs="宋体"/>
                <w:b/>
                <w:color w:val="000000"/>
                <w:sz w:val="18"/>
                <w:szCs w:val="18"/>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44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2" w:type="dxa"/>
            <w:tcBorders>
              <w:top w:val="single" w:color="auto" w:sz="4" w:space="0"/>
              <w:left w:val="nil"/>
              <w:bottom w:val="single" w:color="auto" w:sz="4" w:space="0"/>
              <w:right w:val="single" w:color="auto" w:sz="4" w:space="0"/>
            </w:tcBorders>
            <w:shd w:val="clear" w:color="auto" w:fill="auto"/>
            <w:noWrap/>
            <w:vAlign w:val="center"/>
          </w:tcPr>
          <w:p>
            <w:pPr>
              <w:spacing w:line="440" w:lineRule="exact"/>
              <w:jc w:val="center"/>
              <w:rPr>
                <w:rFonts w:cs="宋体"/>
                <w:b/>
                <w:color w:val="000000"/>
                <w:sz w:val="18"/>
                <w:szCs w:val="18"/>
                <w:lang w:val="en-US"/>
              </w:rPr>
            </w:pPr>
            <w:r>
              <w:rPr>
                <w:rFonts w:hint="eastAsia" w:cs="宋体"/>
                <w:b/>
                <w:color w:val="000000"/>
                <w:sz w:val="18"/>
                <w:szCs w:val="18"/>
                <w:lang w:val="en-US"/>
              </w:rPr>
              <w:t>达标判断</w:t>
            </w:r>
          </w:p>
        </w:tc>
      </w:tr>
      <w:tr>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spacing w:line="440" w:lineRule="exact"/>
              <w:jc w:val="center"/>
              <w:rPr>
                <w:rFonts w:cs="宋体"/>
                <w:sz w:val="18"/>
                <w:szCs w:val="18"/>
              </w:rPr>
            </w:pPr>
            <w:r>
              <w:rPr>
                <w:rFonts w:hint="eastAsia" w:cs="宋体"/>
                <w:sz w:val="18"/>
                <w:szCs w:val="18"/>
              </w:rPr>
              <w:t>无风区</w:t>
            </w:r>
          </w:p>
        </w:tc>
        <w:tc>
          <w:tcPr>
            <w:tcW w:w="2551" w:type="dxa"/>
            <w:tcBorders>
              <w:top w:val="nil"/>
              <w:left w:val="nil"/>
              <w:bottom w:val="single" w:color="auto" w:sz="4" w:space="0"/>
              <w:right w:val="single" w:color="auto" w:sz="4" w:space="0"/>
            </w:tcBorders>
            <w:shd w:val="clear" w:color="auto" w:fill="auto"/>
            <w:noWrap/>
            <w:vAlign w:val="center"/>
          </w:tcPr>
          <w:p>
            <w:pPr>
              <w:spacing w:line="440" w:lineRule="exact"/>
              <w:jc w:val="center"/>
              <w:rPr>
                <w:rFonts w:cs="宋体"/>
                <w:sz w:val="18"/>
                <w:szCs w:val="18"/>
              </w:rPr>
            </w:pPr>
            <w:r>
              <w:rPr>
                <w:rFonts w:hint="eastAsia" w:cs="宋体"/>
                <w:sz w:val="18"/>
                <w:szCs w:val="18"/>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440" w:lineRule="exact"/>
              <w:jc w:val="center"/>
              <w:rPr>
                <w:rFonts w:cs="宋体"/>
                <w:color w:val="000000"/>
                <w:sz w:val="18"/>
                <w:szCs w:val="18"/>
                <w:lang w:val="en-US"/>
              </w:rPr>
            </w:pPr>
            <w:r>
              <w:rPr>
                <w:rFonts w:hint="eastAsia" w:cs="宋体"/>
                <w:color w:val="000000"/>
                <w:sz w:val="18"/>
                <w:szCs w:val="18"/>
                <w:lang w:val="en-US"/>
              </w:rPr>
              <w:t>否</w:t>
            </w:r>
          </w:p>
        </w:tc>
        <w:tc>
          <w:tcPr>
            <w:tcW w:w="1702" w:type="dxa"/>
            <w:tcBorders>
              <w:top w:val="nil"/>
              <w:left w:val="nil"/>
              <w:bottom w:val="single" w:color="auto" w:sz="4" w:space="0"/>
              <w:right w:val="single" w:color="auto" w:sz="4" w:space="0"/>
            </w:tcBorders>
            <w:shd w:val="clear" w:color="auto" w:fill="auto"/>
            <w:noWrap/>
            <w:vAlign w:val="center"/>
          </w:tcPr>
          <w:p>
            <w:pPr>
              <w:spacing w:line="440" w:lineRule="exact"/>
              <w:jc w:val="center"/>
              <w:rPr>
                <w:rFonts w:cs="宋体"/>
                <w:color w:val="000000"/>
                <w:sz w:val="18"/>
                <w:szCs w:val="18"/>
                <w:lang w:val="en-US"/>
              </w:rPr>
            </w:pPr>
            <w:r>
              <w:rPr>
                <w:rFonts w:hint="eastAsia" w:cs="宋体"/>
                <w:color w:val="000000"/>
                <w:sz w:val="18"/>
                <w:szCs w:val="18"/>
                <w:lang w:val="en-US"/>
              </w:rPr>
              <w:t>是</w:t>
            </w:r>
            <w:bookmarkEnd w:id="14"/>
          </w:p>
        </w:tc>
      </w:tr>
      <w:tr>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spacing w:line="440" w:lineRule="exact"/>
              <w:jc w:val="center"/>
              <w:rPr>
                <w:rFonts w:cs="宋体"/>
                <w:sz w:val="18"/>
                <w:szCs w:val="18"/>
              </w:rPr>
            </w:pPr>
            <w:r>
              <w:rPr>
                <w:rFonts w:hint="eastAsia" w:cs="宋体"/>
                <w:sz w:val="18"/>
                <w:szCs w:val="18"/>
              </w:rPr>
              <w:t>旋涡区</w:t>
            </w:r>
          </w:p>
        </w:tc>
        <w:tc>
          <w:tcPr>
            <w:tcW w:w="2551" w:type="dxa"/>
            <w:tcBorders>
              <w:top w:val="nil"/>
              <w:left w:val="nil"/>
              <w:bottom w:val="single" w:color="auto" w:sz="4" w:space="0"/>
              <w:right w:val="single" w:color="auto" w:sz="4" w:space="0"/>
            </w:tcBorders>
            <w:shd w:val="clear" w:color="auto" w:fill="auto"/>
            <w:noWrap/>
            <w:vAlign w:val="center"/>
          </w:tcPr>
          <w:p>
            <w:pPr>
              <w:spacing w:line="440" w:lineRule="exact"/>
              <w:jc w:val="center"/>
              <w:rPr>
                <w:rFonts w:cs="宋体"/>
                <w:sz w:val="18"/>
                <w:szCs w:val="18"/>
              </w:rPr>
            </w:pPr>
            <w:r>
              <w:rPr>
                <w:rFonts w:hint="eastAsia" w:cs="宋体"/>
                <w:sz w:val="18"/>
                <w:szCs w:val="18"/>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440" w:lineRule="exact"/>
              <w:jc w:val="center"/>
              <w:rPr>
                <w:rFonts w:cs="宋体"/>
                <w:color w:val="000000"/>
                <w:sz w:val="18"/>
                <w:szCs w:val="18"/>
                <w:lang w:val="en-US"/>
              </w:rPr>
            </w:pPr>
            <w:r>
              <w:rPr>
                <w:rFonts w:cs="宋体"/>
                <w:color w:val="000000"/>
                <w:sz w:val="18"/>
                <w:szCs w:val="18"/>
                <w:lang w:val="en-US"/>
              </w:rPr>
              <w:t>否</w:t>
            </w:r>
            <w:bookmarkEnd w:id="16"/>
          </w:p>
        </w:tc>
        <w:tc>
          <w:tcPr>
            <w:tcW w:w="1702" w:type="dxa"/>
            <w:tcBorders>
              <w:top w:val="nil"/>
              <w:left w:val="nil"/>
              <w:bottom w:val="single" w:color="auto" w:sz="4" w:space="0"/>
              <w:right w:val="single" w:color="auto" w:sz="4" w:space="0"/>
            </w:tcBorders>
            <w:shd w:val="clear" w:color="auto" w:fill="auto"/>
            <w:noWrap/>
            <w:vAlign w:val="center"/>
          </w:tcPr>
          <w:p>
            <w:pPr>
              <w:spacing w:line="440" w:lineRule="exact"/>
              <w:jc w:val="center"/>
              <w:rPr>
                <w:rFonts w:cs="宋体"/>
                <w:color w:val="000000"/>
                <w:sz w:val="18"/>
                <w:szCs w:val="18"/>
                <w:lang w:val="en-US"/>
              </w:rPr>
            </w:pPr>
            <w:r>
              <w:rPr>
                <w:rFonts w:cs="宋体"/>
                <w:color w:val="000000"/>
                <w:sz w:val="18"/>
                <w:szCs w:val="18"/>
                <w:lang w:val="en-US"/>
              </w:rPr>
              <w:t>是</w:t>
            </w:r>
          </w:p>
        </w:tc>
      </w:tr>
    </w:tbl>
    <w:p>
      <w:pPr>
        <w:pStyle w:val="5"/>
      </w:pPr>
      <w:r>
        <w:rPr>
          <w:rFonts w:hint="eastAsia"/>
        </w:rPr>
        <w:t>外窗内外表面风压</w:t>
      </w:r>
      <w:bookmarkEnd w:id="17"/>
      <w:r>
        <w:rPr>
          <w:rFonts w:hint="eastAsia"/>
        </w:rPr>
        <w:t>差达标分析</w:t>
      </w:r>
      <w:bookmarkEnd w:id="19"/>
    </w:p>
    <w:p>
      <w:pPr>
        <w:ind w:firstLine="420"/>
      </w:pPr>
      <w:r>
        <w:rPr>
          <w:rFonts w:hint="eastAsia"/>
          <w:lang w:val="en-US"/>
        </w:rPr>
        <w:t>分析《绿色建筑评价标准》，夏季为充分利用自然通风获得良好的室内风环境，要求50%以上可开启外窗室内外表面的风压差大于0.5Pa。</w:t>
      </w:r>
    </w:p>
    <w:p>
      <w:pPr>
        <w:ind w:firstLine="420"/>
      </w:pPr>
      <w:r>
        <w:rPr>
          <w:rFonts w:hint="eastAsia"/>
          <w:lang w:val="en-US"/>
        </w:rPr>
        <w:t>可见在夏季，为了获得良好室内风环境，首先要有良好的室外风环境。当外窗关闭时，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ind w:firstLine="420"/>
      </w:pPr>
      <w:r>
        <w:rPr>
          <w:rFonts w:hint="eastAsia"/>
          <w:lang w:val="en-US"/>
        </w:rPr>
        <w:t>下图为夏季工况下，建筑迎风面和背风面对应外窗表面的风压分布图，结合图例数值可以清晰看到外窗表面风压小于0.5Pa的外窗区域。</w:t>
      </w:r>
    </w:p>
    <w:bookmarkEnd w:id="20"/>
    <w:p>
      <w:pPr>
        <w:pStyle w:val="3"/>
        <w:ind w:firstLine="0" w:firstLineChars="0"/>
        <w:jc w:val="center"/>
        <w:rPr>
          <w:rFonts w:ascii="微软雅黑" w:hAnsi="微软雅黑" w:eastAsia="微软雅黑"/>
        </w:rPr>
      </w:pPr>
      <w:r>
        <w:drawing>
          <wp:inline distT="0" distB="0" distL="0" distR="0">
            <wp:extent cx="5667375" cy="32861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2"/>
                    <a:stretch>
                      <a:fillRect/>
                    </a:stretch>
                  </pic:blipFill>
                  <pic:spPr>
                    <a:xfrm>
                      <a:off x="0" y="0"/>
                      <a:ext cx="5667375" cy="3286125"/>
                    </a:xfrm>
                    <a:prstGeom prst="rect">
                      <a:avLst/>
                    </a:prstGeom>
                  </pic:spPr>
                </pic:pic>
              </a:graphicData>
            </a:graphic>
          </wp:inline>
        </w:drawing>
      </w:r>
    </w:p>
    <w:p>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建筑迎风面外窗表面风压云图-夏季</w:t>
      </w:r>
      <w:bookmarkEnd w:id="22"/>
    </w:p>
    <w:bookmarkEnd w:id="23"/>
    <w:p>
      <w:pPr>
        <w:jc w:val="center"/>
        <w:rPr>
          <w:rFonts w:ascii="微软雅黑" w:hAnsi="微软雅黑" w:eastAsia="微软雅黑"/>
          <w:sz w:val="21"/>
        </w:rPr>
      </w:pPr>
      <w:r>
        <w:drawing>
          <wp:inline distT="0" distB="0" distL="0" distR="0">
            <wp:extent cx="5667375" cy="32956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3"/>
                    <a:stretch>
                      <a:fillRect/>
                    </a:stretch>
                  </pic:blipFill>
                  <pic:spPr>
                    <a:xfrm>
                      <a:off x="0" y="0"/>
                      <a:ext cx="5667375" cy="3295650"/>
                    </a:xfrm>
                    <a:prstGeom prst="rect">
                      <a:avLst/>
                    </a:prstGeom>
                  </pic:spPr>
                </pic:pic>
              </a:graphicData>
            </a:graphic>
          </wp:inline>
        </w:drawing>
      </w:r>
    </w:p>
    <w:p>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建筑背风面外窗表面风压云图-夏季 </w:t>
      </w:r>
    </w:p>
    <w:p>
      <w:pPr>
        <w:ind w:firstLine="420"/>
      </w:pPr>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2 \s </w:instrText>
      </w:r>
      <w:r>
        <w:rPr>
          <w:rFonts w:ascii="微软雅黑" w:hAnsi="微软雅黑" w:eastAsia="微软雅黑"/>
          <w:sz w:val="18"/>
          <w:szCs w:val="18"/>
        </w:rPr>
        <w:fldChar w:fldCharType="separate"/>
      </w:r>
      <w:r>
        <w:rPr>
          <w:rFonts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w:instrText>
      </w:r>
      <w:r>
        <w:rPr>
          <w:rFonts w:hint="eastAsia" w:ascii="微软雅黑" w:hAnsi="微软雅黑" w:eastAsia="微软雅黑"/>
          <w:sz w:val="18"/>
          <w:szCs w:val="18"/>
        </w:rPr>
        <w:instrText xml:space="preserve">表</w:instrText>
      </w:r>
      <w:r>
        <w:rPr>
          <w:rFonts w:ascii="微软雅黑" w:hAnsi="微软雅黑" w:eastAsia="微软雅黑"/>
          <w:sz w:val="18"/>
          <w:szCs w:val="18"/>
        </w:rPr>
        <w:instrText xml:space="preserve"> \* ARABIC \s 2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建筑室内外风压差达标判定表</w:t>
      </w:r>
    </w:p>
    <w:tbl>
      <w:tblPr>
        <w:tblStyle w:val="21"/>
        <w:tblW w:w="82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73"/>
        <w:gridCol w:w="1335"/>
        <w:gridCol w:w="3484"/>
        <w:gridCol w:w="1085"/>
        <w:gridCol w:w="10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shd w:val="clear" w:color="auto" w:fill="E6E6E6"/>
            <w:vAlign w:val="center"/>
          </w:tcPr>
          <w:p>
            <w:pPr>
              <w:spacing w:line="440" w:lineRule="exact"/>
              <w:jc w:val="center"/>
              <w:rPr>
                <w:sz w:val="18"/>
                <w:szCs w:val="18"/>
                <w:lang w:val="en-US"/>
              </w:rPr>
            </w:pPr>
            <w:r>
              <w:rPr>
                <w:rFonts w:hint="eastAsia"/>
                <w:sz w:val="18"/>
                <w:szCs w:val="18"/>
                <w:lang w:val="en-US"/>
              </w:rPr>
              <w:t>建筑编号</w:t>
            </w:r>
          </w:p>
        </w:tc>
        <w:tc>
          <w:tcPr>
            <w:tcW w:w="1335" w:type="dxa"/>
            <w:shd w:val="clear" w:color="auto" w:fill="E6E6E6"/>
            <w:vAlign w:val="center"/>
          </w:tcPr>
          <w:p>
            <w:pPr>
              <w:spacing w:line="440" w:lineRule="exact"/>
              <w:jc w:val="center"/>
              <w:rPr>
                <w:sz w:val="18"/>
                <w:szCs w:val="18"/>
                <w:lang w:val="en-US"/>
              </w:rPr>
            </w:pPr>
            <w:r>
              <w:rPr>
                <w:rFonts w:hint="eastAsia"/>
                <w:sz w:val="18"/>
                <w:szCs w:val="18"/>
                <w:lang w:val="en-US"/>
              </w:rPr>
              <w:t>建筑表面积（㎡）</w:t>
            </w:r>
          </w:p>
        </w:tc>
        <w:tc>
          <w:tcPr>
            <w:tcW w:w="3484" w:type="dxa"/>
            <w:shd w:val="clear" w:color="auto" w:fill="E6E6E6"/>
            <w:vAlign w:val="center"/>
          </w:tcPr>
          <w:p>
            <w:pPr>
              <w:spacing w:line="440" w:lineRule="exact"/>
              <w:jc w:val="center"/>
              <w:rPr>
                <w:sz w:val="18"/>
                <w:szCs w:val="18"/>
                <w:lang w:val="en-US"/>
              </w:rPr>
            </w:pPr>
            <w:r>
              <w:rPr>
                <w:rFonts w:hint="eastAsia"/>
                <w:sz w:val="18"/>
                <w:szCs w:val="18"/>
                <w:lang w:val="en-US"/>
              </w:rPr>
              <w:t>室内外风压差大于</w:t>
            </w:r>
            <w:r>
              <w:rPr>
                <w:sz w:val="18"/>
                <w:szCs w:val="18"/>
                <w:lang w:val="en-US"/>
              </w:rPr>
              <w:t>0.5Pa</w:t>
            </w:r>
            <w:r>
              <w:rPr>
                <w:rFonts w:hint="eastAsia"/>
                <w:sz w:val="18"/>
                <w:szCs w:val="18"/>
                <w:lang w:val="en-US"/>
              </w:rPr>
              <w:t>的建筑表面积（㎡）</w:t>
            </w:r>
          </w:p>
        </w:tc>
        <w:tc>
          <w:tcPr>
            <w:tcW w:w="1085" w:type="dxa"/>
            <w:shd w:val="clear" w:color="auto" w:fill="E6E6E6"/>
            <w:vAlign w:val="center"/>
          </w:tcPr>
          <w:p>
            <w:pPr>
              <w:spacing w:line="440" w:lineRule="exact"/>
              <w:jc w:val="center"/>
              <w:rPr>
                <w:sz w:val="18"/>
                <w:szCs w:val="18"/>
                <w:lang w:val="en-US"/>
              </w:rPr>
            </w:pPr>
            <w:r>
              <w:rPr>
                <w:rFonts w:hint="eastAsia"/>
                <w:sz w:val="18"/>
                <w:szCs w:val="18"/>
                <w:lang w:val="en-US"/>
              </w:rPr>
              <w:t>达标比例（</w:t>
            </w:r>
            <w:r>
              <w:rPr>
                <w:sz w:val="18"/>
                <w:szCs w:val="18"/>
                <w:lang w:val="en-US"/>
              </w:rPr>
              <w:t>%</w:t>
            </w:r>
            <w:r>
              <w:rPr>
                <w:rFonts w:hint="eastAsia"/>
                <w:sz w:val="18"/>
                <w:szCs w:val="18"/>
                <w:lang w:val="en-US"/>
              </w:rPr>
              <w:t>）</w:t>
            </w:r>
          </w:p>
        </w:tc>
        <w:tc>
          <w:tcPr>
            <w:tcW w:w="1042" w:type="dxa"/>
            <w:shd w:val="clear" w:color="auto" w:fill="E6E6E6"/>
            <w:vAlign w:val="center"/>
          </w:tcPr>
          <w:p>
            <w:pPr>
              <w:spacing w:line="440" w:lineRule="exact"/>
              <w:jc w:val="center"/>
              <w:rPr>
                <w:sz w:val="18"/>
                <w:szCs w:val="18"/>
                <w:lang w:val="en-US"/>
              </w:rPr>
            </w:pPr>
            <w:r>
              <w:rPr>
                <w:rFonts w:hint="eastAsia"/>
                <w:sz w:val="18"/>
                <w:szCs w:val="18"/>
                <w:lang w:val="en-US"/>
              </w:rPr>
              <w:t>是否达标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pPr>
              <w:spacing w:line="440" w:lineRule="exact"/>
              <w:jc w:val="center"/>
              <w:rPr>
                <w:sz w:val="18"/>
                <w:szCs w:val="18"/>
                <w:lang w:val="en-US"/>
              </w:rPr>
            </w:pPr>
            <w:r>
              <w:rPr>
                <w:sz w:val="18"/>
                <w:szCs w:val="18"/>
                <w:lang w:val="en-US"/>
              </w:rPr>
              <w:t>未命名</w:t>
            </w:r>
          </w:p>
        </w:tc>
        <w:tc>
          <w:tcPr>
            <w:tcW w:w="1335" w:type="dxa"/>
            <w:vAlign w:val="center"/>
          </w:tcPr>
          <w:p>
            <w:pPr>
              <w:spacing w:line="440" w:lineRule="exact"/>
              <w:jc w:val="center"/>
              <w:rPr>
                <w:sz w:val="18"/>
                <w:szCs w:val="18"/>
                <w:lang w:val="en-US"/>
              </w:rPr>
            </w:pPr>
            <w:r>
              <w:rPr>
                <w:sz w:val="18"/>
                <w:szCs w:val="18"/>
                <w:lang w:val="en-US"/>
              </w:rPr>
              <w:t>570.28</w:t>
            </w:r>
          </w:p>
        </w:tc>
        <w:tc>
          <w:tcPr>
            <w:tcW w:w="3484" w:type="dxa"/>
            <w:vAlign w:val="center"/>
          </w:tcPr>
          <w:p>
            <w:pPr>
              <w:spacing w:line="440" w:lineRule="exact"/>
              <w:jc w:val="center"/>
              <w:rPr>
                <w:sz w:val="18"/>
                <w:szCs w:val="18"/>
                <w:lang w:val="en-US"/>
              </w:rPr>
            </w:pPr>
            <w:r>
              <w:rPr>
                <w:sz w:val="18"/>
                <w:szCs w:val="18"/>
                <w:lang w:val="en-US"/>
              </w:rPr>
              <w:t>219.72</w:t>
            </w:r>
          </w:p>
        </w:tc>
        <w:tc>
          <w:tcPr>
            <w:tcW w:w="1085" w:type="dxa"/>
            <w:vAlign w:val="center"/>
          </w:tcPr>
          <w:p>
            <w:pPr>
              <w:spacing w:line="440" w:lineRule="exact"/>
              <w:jc w:val="center"/>
              <w:rPr>
                <w:sz w:val="18"/>
                <w:szCs w:val="18"/>
                <w:lang w:val="en-US"/>
              </w:rPr>
            </w:pPr>
            <w:r>
              <w:rPr>
                <w:sz w:val="18"/>
                <w:szCs w:val="18"/>
                <w:lang w:val="en-US"/>
              </w:rPr>
              <w:t>38.53</w:t>
            </w:r>
          </w:p>
        </w:tc>
        <w:tc>
          <w:tcPr>
            <w:tcW w:w="1042" w:type="dxa"/>
            <w:vAlign w:val="center"/>
          </w:tcPr>
          <w:p>
            <w:pPr>
              <w:spacing w:line="440" w:lineRule="exact"/>
              <w:jc w:val="center"/>
              <w:rPr>
                <w:sz w:val="18"/>
                <w:szCs w:val="18"/>
                <w:lang w:val="en-US"/>
              </w:rPr>
            </w:pPr>
            <w:r>
              <w:rPr>
                <w:color w:val="FF0000"/>
                <w:sz w:val="18"/>
                <w:szCs w:val="18"/>
                <w:lang w:val="en-US"/>
              </w:rPr>
              <w:t>否</w:t>
            </w:r>
          </w:p>
        </w:tc>
      </w:tr>
    </w:tbl>
    <w:p>
      <w:pPr>
        <w:rPr>
          <w:sz w:val="18"/>
          <w:szCs w:val="18"/>
          <w:lang w:val="en-US"/>
        </w:rPr>
      </w:pPr>
      <w:r>
        <w:rPr>
          <w:rFonts w:hint="eastAsia"/>
          <w:sz w:val="18"/>
          <w:szCs w:val="18"/>
          <w:lang w:val="en-US"/>
        </w:rPr>
        <w:t>说明：达标比例＝（室内外风压差大于</w:t>
      </w:r>
      <w:r>
        <w:rPr>
          <w:sz w:val="18"/>
          <w:szCs w:val="18"/>
          <w:lang w:val="en-US"/>
        </w:rPr>
        <w:t>0.5Pa</w:t>
      </w:r>
      <w:r>
        <w:rPr>
          <w:rFonts w:hint="eastAsia"/>
          <w:sz w:val="18"/>
          <w:szCs w:val="18"/>
          <w:lang w:val="en-US"/>
        </w:rPr>
        <w:t>的建筑表面积</w:t>
      </w:r>
      <w:r>
        <w:rPr>
          <w:sz w:val="18"/>
          <w:szCs w:val="18"/>
          <w:lang w:val="en-US"/>
        </w:rPr>
        <w:t>/</w:t>
      </w:r>
      <w:r>
        <w:rPr>
          <w:rFonts w:hint="eastAsia"/>
          <w:sz w:val="18"/>
          <w:szCs w:val="18"/>
          <w:lang w:val="en-US"/>
        </w:rPr>
        <w:t>建筑表面积）</w:t>
      </w:r>
      <w:r>
        <w:rPr>
          <w:sz w:val="18"/>
          <w:szCs w:val="18"/>
          <w:lang w:val="en-US"/>
        </w:rPr>
        <w:t>*100</w:t>
      </w:r>
      <w:r>
        <w:rPr>
          <w:rFonts w:hint="eastAsia"/>
          <w:sz w:val="18"/>
          <w:szCs w:val="18"/>
          <w:lang w:val="en-US"/>
        </w:rPr>
        <w:t>％</w:t>
      </w:r>
    </w:p>
    <w:p>
      <w:r>
        <w:rPr>
          <w:rFonts w:hint="eastAsia"/>
        </w:rPr>
        <w:t xml:space="preserve"> </w:t>
      </w:r>
      <w:bookmarkEnd w:id="26"/>
    </w:p>
    <w:p>
      <w:pPr>
        <w:ind w:firstLine="420"/>
        <w:rPr>
          <w:lang w:val="en-US"/>
        </w:rPr>
      </w:pPr>
      <w:r>
        <w:rPr>
          <w:rFonts w:hint="eastAsia"/>
          <w:lang w:val="en-US"/>
        </w:rPr>
        <w:t xml:space="preserve">结论：本项目中所有建筑均未满足“50%以上可开启外窗室内外表面的风压差大于0.5Pa”的要求，该条不得分。 </w:t>
      </w:r>
      <w:bookmarkEnd w:id="27"/>
    </w:p>
    <w:p>
      <w:pPr>
        <w:rPr>
          <w:lang w:val="en-US"/>
        </w:rPr>
      </w:pPr>
      <w:bookmarkStart w:id="67" w:name="其他工况"/>
      <w:bookmarkEnd w:id="67"/>
      <w:r>
        <w:rPr>
          <w:rFonts w:hint="eastAsia"/>
          <w:lang w:val="en-US"/>
        </w:rPr>
        <w:t xml:space="preserve"> </w:t>
      </w:r>
    </w:p>
    <w:p>
      <w:pPr>
        <w:pStyle w:val="2"/>
      </w:pPr>
      <w:bookmarkStart w:id="68" w:name="_Toc509844764"/>
      <w:bookmarkStart w:id="69" w:name="_Toc20918"/>
      <w:r>
        <w:rPr>
          <w:rFonts w:hint="eastAsia"/>
        </w:rPr>
        <w:t>结论</w:t>
      </w:r>
      <w:bookmarkEnd w:id="68"/>
      <w:bookmarkEnd w:id="69"/>
    </w:p>
    <w:bookmarkEnd w:id="0"/>
    <w:bookmarkEnd w:id="1"/>
    <w:p>
      <w:pPr>
        <w:pStyle w:val="4"/>
      </w:pPr>
      <w:bookmarkStart w:id="70" w:name="_Toc22591"/>
      <w:r>
        <w:rPr>
          <w:rFonts w:hint="eastAsia"/>
        </w:rPr>
        <w:t>过渡季、夏季工况达标判断</w:t>
      </w:r>
      <w:bookmarkEnd w:id="2"/>
      <w:bookmarkEnd w:id="70"/>
    </w:p>
    <w:bookmarkEnd w:id="3"/>
    <w:p>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44"/>
        <w:gridCol w:w="2410"/>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444" w:type="dxa"/>
            <w:shd w:val="clear" w:color="auto" w:fill="E6E6E6"/>
          </w:tcPr>
          <w:p>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2410" w:type="dxa"/>
            <w:shd w:val="clear" w:color="auto" w:fill="E6E6E6"/>
            <w:vAlign w:val="center"/>
          </w:tcPr>
          <w:p>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134" w:type="dxa"/>
            <w:shd w:val="clear" w:color="auto" w:fill="E6E6E6"/>
          </w:tcPr>
          <w:p>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992" w:type="dxa"/>
            <w:shd w:val="clear" w:color="auto" w:fill="E6E6E6"/>
          </w:tcPr>
          <w:p>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444" w:type="dxa"/>
            <w:vMerge w:val="restart"/>
            <w:shd w:val="clear" w:color="auto" w:fill="auto"/>
          </w:tcPr>
          <w:p>
            <w:pP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，得3</w:t>
            </w:r>
            <w:bookmarkEnd w:id="4"/>
            <w:r>
              <w:rPr>
                <w:rFonts w:hint="eastAsia" w:ascii="微软雅黑" w:hAnsi="微软雅黑" w:eastAsia="微软雅黑"/>
                <w:sz w:val="18"/>
                <w:szCs w:val="18"/>
                <w:lang w:val="en-US"/>
              </w:rPr>
              <w:t>分</w:t>
            </w:r>
            <w:r>
              <w:rPr>
                <w:rFonts w:ascii="微软雅黑" w:hAnsi="微软雅黑" w:eastAsia="微软雅黑"/>
                <w:sz w:val="18"/>
                <w:szCs w:val="18"/>
                <w:lang w:val="en-US"/>
              </w:rPr>
              <w:t xml:space="preserve"> </w:t>
            </w:r>
          </w:p>
        </w:tc>
        <w:tc>
          <w:tcPr>
            <w:tcW w:w="2410" w:type="dxa"/>
            <w:shd w:val="clear" w:color="auto" w:fill="auto"/>
            <w:vAlign w:val="center"/>
          </w:tcPr>
          <w:p>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计算域无</w:t>
            </w:r>
            <w:bookmarkEnd w:id="5"/>
            <w:r>
              <w:rPr>
                <w:rFonts w:hint="eastAsia" w:ascii="微软雅黑" w:hAnsi="微软雅黑" w:eastAsia="微软雅黑"/>
                <w:sz w:val="18"/>
                <w:szCs w:val="18"/>
                <w:lang w:val="en-US"/>
              </w:rPr>
              <w:t>无风区</w:t>
            </w:r>
          </w:p>
        </w:tc>
        <w:tc>
          <w:tcPr>
            <w:tcW w:w="1134" w:type="dxa"/>
            <w:vMerge w:val="restart"/>
            <w:shd w:val="clear" w:color="auto" w:fill="auto"/>
            <w:vAlign w:val="center"/>
          </w:tcPr>
          <w:p>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达标</w:t>
            </w:r>
            <w:bookmarkEnd w:id="6"/>
          </w:p>
        </w:tc>
        <w:tc>
          <w:tcPr>
            <w:tcW w:w="992" w:type="dxa"/>
            <w:vMerge w:val="restart"/>
            <w:shd w:val="clear" w:color="auto" w:fill="auto"/>
            <w:vAlign w:val="center"/>
          </w:tcPr>
          <w:p>
            <w:pPr>
              <w:jc w:val="center"/>
              <w:rPr>
                <w:rFonts w:ascii="微软雅黑" w:hAnsi="微软雅黑" w:eastAsia="微软雅黑"/>
                <w:sz w:val="18"/>
                <w:szCs w:val="18"/>
                <w:lang w:val="en-US"/>
              </w:rPr>
            </w:pPr>
            <w:r>
              <w:rPr>
                <w:rFonts w:hint="eastAsia" w:ascii="微软雅黑" w:hAnsi="微软雅黑" w:eastAsia="微软雅黑"/>
                <w:sz w:val="18"/>
                <w:szCs w:val="18"/>
                <w:lang w:val="en-US"/>
              </w:rPr>
              <w:t>3</w:t>
            </w:r>
            <w:bookmarkEnd w:id="7"/>
            <w:r>
              <w:rPr>
                <w:rFonts w:hint="eastAsia" w:ascii="微软雅黑" w:hAnsi="微软雅黑" w:eastAsia="微软雅黑"/>
                <w:sz w:val="18"/>
                <w:szCs w:val="18"/>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444" w:type="dxa"/>
            <w:vMerge w:val="continue"/>
            <w:shd w:val="clear" w:color="auto" w:fill="auto"/>
          </w:tcPr>
          <w:p>
            <w:pPr>
              <w:jc w:val="center"/>
              <w:rPr>
                <w:rFonts w:ascii="微软雅黑" w:hAnsi="微软雅黑" w:eastAsia="微软雅黑"/>
                <w:sz w:val="18"/>
                <w:szCs w:val="18"/>
                <w:lang w:val="en-US"/>
              </w:rPr>
            </w:pPr>
          </w:p>
        </w:tc>
        <w:tc>
          <w:tcPr>
            <w:tcW w:w="2410" w:type="dxa"/>
            <w:shd w:val="clear" w:color="auto" w:fill="auto"/>
            <w:vAlign w:val="center"/>
          </w:tcPr>
          <w:p>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计算域无旋涡区</w:t>
            </w:r>
          </w:p>
        </w:tc>
        <w:tc>
          <w:tcPr>
            <w:tcW w:w="1134" w:type="dxa"/>
            <w:vMerge w:val="continue"/>
            <w:shd w:val="clear" w:color="auto" w:fill="auto"/>
          </w:tcPr>
          <w:p>
            <w:pPr>
              <w:jc w:val="center"/>
              <w:rPr>
                <w:rFonts w:ascii="微软雅黑" w:hAnsi="微软雅黑" w:eastAsia="微软雅黑"/>
                <w:sz w:val="18"/>
                <w:szCs w:val="18"/>
                <w:lang w:val="en-US"/>
              </w:rPr>
            </w:pPr>
          </w:p>
        </w:tc>
        <w:tc>
          <w:tcPr>
            <w:tcW w:w="992" w:type="dxa"/>
            <w:vMerge w:val="continue"/>
            <w:shd w:val="clear" w:color="auto" w:fill="auto"/>
          </w:tcPr>
          <w:p>
            <w:pPr>
              <w:jc w:val="center"/>
              <w:rPr>
                <w:rFonts w:ascii="微软雅黑" w:hAnsi="微软雅黑" w:eastAsia="微软雅黑"/>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444" w:type="dxa"/>
            <w:shd w:val="clear" w:color="auto" w:fill="auto"/>
          </w:tcPr>
          <w:p>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，得2</w:t>
            </w:r>
            <w:bookmarkEnd w:id="8"/>
            <w:r>
              <w:rPr>
                <w:rFonts w:hint="eastAsia" w:ascii="微软雅黑" w:hAnsi="微软雅黑" w:eastAsia="微软雅黑"/>
                <w:sz w:val="18"/>
                <w:szCs w:val="18"/>
                <w:lang w:val="en-US"/>
              </w:rPr>
              <w:t>分。</w:t>
            </w:r>
          </w:p>
        </w:tc>
        <w:tc>
          <w:tcPr>
            <w:tcW w:w="2410" w:type="dxa"/>
            <w:shd w:val="clear" w:color="auto" w:fill="auto"/>
            <w:vAlign w:val="center"/>
          </w:tcPr>
          <w:p>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r>
              <w:rPr>
                <w:rFonts w:hint="eastAsia" w:ascii="微软雅黑" w:hAnsi="微软雅黑" w:eastAsia="微软雅黑"/>
                <w:color w:val="FF0000"/>
                <w:sz w:val="18"/>
                <w:szCs w:val="18"/>
                <w:lang w:val="en-US"/>
              </w:rPr>
              <w:t>不满足</w:t>
            </w:r>
            <w:bookmarkEnd w:id="9"/>
            <w:r>
              <w:rPr>
                <w:rFonts w:hint="eastAsia" w:ascii="微软雅黑" w:hAnsi="微软雅黑" w:eastAsia="微软雅黑"/>
                <w:sz w:val="18"/>
                <w:szCs w:val="18"/>
                <w:lang w:val="en-US"/>
              </w:rPr>
              <w:t>标准要求</w:t>
            </w:r>
          </w:p>
        </w:tc>
        <w:tc>
          <w:tcPr>
            <w:tcW w:w="1134" w:type="dxa"/>
            <w:shd w:val="clear" w:color="auto" w:fill="auto"/>
            <w:vAlign w:val="center"/>
          </w:tcPr>
          <w:p>
            <w:pPr>
              <w:jc w:val="center"/>
              <w:rPr>
                <w:rFonts w:ascii="微软雅黑" w:hAnsi="微软雅黑" w:eastAsia="微软雅黑"/>
                <w:b/>
                <w:sz w:val="18"/>
                <w:szCs w:val="18"/>
                <w:lang w:val="en-US"/>
              </w:rPr>
            </w:pPr>
            <w:r>
              <w:rPr>
                <w:rFonts w:hint="eastAsia" w:ascii="微软雅黑" w:hAnsi="微软雅黑" w:eastAsia="微软雅黑"/>
                <w:b/>
                <w:color w:val="FF0000"/>
                <w:sz w:val="18"/>
                <w:szCs w:val="18"/>
                <w:lang w:val="en-US"/>
              </w:rPr>
              <w:t>不达标</w:t>
            </w:r>
            <w:bookmarkEnd w:id="10"/>
          </w:p>
        </w:tc>
        <w:tc>
          <w:tcPr>
            <w:tcW w:w="992" w:type="dxa"/>
            <w:shd w:val="clear" w:color="auto" w:fill="auto"/>
            <w:vAlign w:val="center"/>
          </w:tcPr>
          <w:p>
            <w:pPr>
              <w:jc w:val="center"/>
              <w:rPr>
                <w:rFonts w:ascii="微软雅黑" w:hAnsi="微软雅黑" w:eastAsia="微软雅黑"/>
                <w:sz w:val="18"/>
                <w:szCs w:val="18"/>
                <w:lang w:val="en-US"/>
              </w:rPr>
            </w:pPr>
            <w:r>
              <w:rPr>
                <w:rFonts w:hint="eastAsia" w:ascii="微软雅黑" w:hAnsi="微软雅黑" w:eastAsia="微软雅黑"/>
                <w:sz w:val="18"/>
                <w:szCs w:val="18"/>
                <w:lang w:val="en-US"/>
              </w:rPr>
              <w:t>0</w:t>
            </w:r>
            <w:bookmarkEnd w:id="11"/>
            <w:r>
              <w:rPr>
                <w:rFonts w:hint="eastAsia" w:ascii="微软雅黑" w:hAnsi="微软雅黑" w:eastAsia="微软雅黑"/>
                <w:sz w:val="18"/>
                <w:szCs w:val="18"/>
                <w:lang w:val="en-US"/>
              </w:rPr>
              <w:t>分</w:t>
            </w:r>
          </w:p>
        </w:tc>
      </w:tr>
    </w:tbl>
    <w:p>
      <w:pPr>
        <w:rPr>
          <w:rFonts w:ascii="微软雅黑" w:hAnsi="微软雅黑" w:eastAsia="微软雅黑"/>
          <w:szCs w:val="21"/>
          <w:lang w:val="en-US"/>
        </w:rPr>
      </w:pPr>
    </w:p>
    <w:p>
      <w:pPr>
        <w:pStyle w:val="3"/>
        <w:ind w:firstLine="42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71" w:name="总得分"/>
      <w:r>
        <w:rPr>
          <w:rFonts w:hint="eastAsia" w:ascii="微软雅黑" w:hAnsi="微软雅黑" w:eastAsia="微软雅黑"/>
          <w:lang w:val="en-US"/>
        </w:rPr>
        <w:t>3</w:t>
      </w:r>
      <w:bookmarkEnd w:id="71"/>
      <w:r>
        <w:rPr>
          <w:rFonts w:hint="eastAsia" w:ascii="微软雅黑" w:hAnsi="微软雅黑" w:eastAsia="微软雅黑"/>
          <w:lang w:val="en-US"/>
        </w:rPr>
        <w:t>分。</w:t>
      </w:r>
    </w:p>
    <w:p>
      <w:pPr>
        <w:pStyle w:val="3"/>
        <w:ind w:firstLine="0" w:firstLineChars="0"/>
        <w:rPr>
          <w:rFonts w:ascii="微软雅黑" w:hAnsi="微软雅黑" w:eastAsia="微软雅黑"/>
          <w:lang w:val="en-US"/>
        </w:rPr>
      </w:pPr>
    </w:p>
    <w:sectPr>
      <w:headerReference r:id="rId6" w:type="default"/>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pPr>
            <w:pStyle w:val="17"/>
            <w:spacing w:line="360" w:lineRule="exact"/>
            <w:rPr>
              <w:sz w:val="20"/>
              <w:szCs w:val="21"/>
            </w:rPr>
          </w:pPr>
        </w:p>
      </w:tc>
      <w:tc>
        <w:tcPr>
          <w:tcW w:w="2841" w:type="dxa"/>
        </w:tcPr>
        <w:p>
          <w:pPr>
            <w:pStyle w:val="17"/>
            <w:spacing w:line="360" w:lineRule="exact"/>
            <w:jc w:val="center"/>
            <w:rPr>
              <w:sz w:val="20"/>
              <w:szCs w:val="21"/>
            </w:rPr>
          </w:pPr>
          <w:sdt>
            <w:sdtPr>
              <w:rPr>
                <w:sz w:val="20"/>
              </w:rPr>
              <w:id w:val="-524636966"/>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pPr>
            <w:pStyle w:val="17"/>
            <w:spacing w:line="360" w:lineRule="exact"/>
            <w:jc w:val="right"/>
            <w:rPr>
              <w:sz w:val="20"/>
              <w:szCs w:val="21"/>
            </w:rPr>
          </w:pP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96BEC"/>
    <w:rsid w:val="00000E39"/>
    <w:rsid w:val="00005045"/>
    <w:rsid w:val="0000578F"/>
    <w:rsid w:val="0002001E"/>
    <w:rsid w:val="000219DF"/>
    <w:rsid w:val="000268F9"/>
    <w:rsid w:val="00037A4C"/>
    <w:rsid w:val="000678A8"/>
    <w:rsid w:val="00067FD6"/>
    <w:rsid w:val="00070047"/>
    <w:rsid w:val="00073958"/>
    <w:rsid w:val="00076B16"/>
    <w:rsid w:val="00076D70"/>
    <w:rsid w:val="00081A16"/>
    <w:rsid w:val="000835FF"/>
    <w:rsid w:val="000A18D8"/>
    <w:rsid w:val="000A23A8"/>
    <w:rsid w:val="000A3C68"/>
    <w:rsid w:val="000B78A5"/>
    <w:rsid w:val="000C146F"/>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65FC"/>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12A0"/>
    <w:rsid w:val="002D2322"/>
    <w:rsid w:val="002E4CD4"/>
    <w:rsid w:val="002E702B"/>
    <w:rsid w:val="0030437C"/>
    <w:rsid w:val="00305A07"/>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732"/>
    <w:rsid w:val="005A7F1B"/>
    <w:rsid w:val="005B7445"/>
    <w:rsid w:val="005C069E"/>
    <w:rsid w:val="005C6629"/>
    <w:rsid w:val="005D1E21"/>
    <w:rsid w:val="005E2482"/>
    <w:rsid w:val="005F1609"/>
    <w:rsid w:val="005F4F73"/>
    <w:rsid w:val="005F689E"/>
    <w:rsid w:val="006031E6"/>
    <w:rsid w:val="006105F7"/>
    <w:rsid w:val="006156D5"/>
    <w:rsid w:val="0062338D"/>
    <w:rsid w:val="006254D5"/>
    <w:rsid w:val="00634E08"/>
    <w:rsid w:val="00642291"/>
    <w:rsid w:val="00642309"/>
    <w:rsid w:val="00646118"/>
    <w:rsid w:val="00647810"/>
    <w:rsid w:val="00654C63"/>
    <w:rsid w:val="00661405"/>
    <w:rsid w:val="00662EF0"/>
    <w:rsid w:val="006645DE"/>
    <w:rsid w:val="00670E9B"/>
    <w:rsid w:val="006723F0"/>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260D0"/>
    <w:rsid w:val="007302A5"/>
    <w:rsid w:val="00732D83"/>
    <w:rsid w:val="007363B1"/>
    <w:rsid w:val="00741470"/>
    <w:rsid w:val="007446D1"/>
    <w:rsid w:val="00745913"/>
    <w:rsid w:val="0074750E"/>
    <w:rsid w:val="00751D7B"/>
    <w:rsid w:val="00754FB6"/>
    <w:rsid w:val="00762314"/>
    <w:rsid w:val="007628A1"/>
    <w:rsid w:val="00767FE1"/>
    <w:rsid w:val="00777C7C"/>
    <w:rsid w:val="00781187"/>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13E64"/>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24AA"/>
    <w:rsid w:val="00B84271"/>
    <w:rsid w:val="00B86C89"/>
    <w:rsid w:val="00BA25C3"/>
    <w:rsid w:val="00BB1BF9"/>
    <w:rsid w:val="00BD0C1B"/>
    <w:rsid w:val="00BD7E90"/>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15CB"/>
    <w:rsid w:val="00DA4173"/>
    <w:rsid w:val="00DA66B2"/>
    <w:rsid w:val="00DB09A4"/>
    <w:rsid w:val="00DC5E38"/>
    <w:rsid w:val="00DC73AD"/>
    <w:rsid w:val="00DD16C4"/>
    <w:rsid w:val="00DD2870"/>
    <w:rsid w:val="00DE6D07"/>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93A42"/>
    <w:rsid w:val="00EA30EF"/>
    <w:rsid w:val="00EA5DEE"/>
    <w:rsid w:val="00EB1BD1"/>
    <w:rsid w:val="00EB5344"/>
    <w:rsid w:val="00EB67C0"/>
    <w:rsid w:val="00EE1BA7"/>
    <w:rsid w:val="00EE68A9"/>
    <w:rsid w:val="00EE7411"/>
    <w:rsid w:val="00EF3DA5"/>
    <w:rsid w:val="00EF7114"/>
    <w:rsid w:val="00F0656F"/>
    <w:rsid w:val="00F10F02"/>
    <w:rsid w:val="00F30C12"/>
    <w:rsid w:val="00F44EF3"/>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24CF1E67"/>
    <w:rsid w:val="77396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3"/>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qFormat/>
    <w:uiPriority w:val="0"/>
    <w:pPr>
      <w:keepNext/>
      <w:numPr>
        <w:ilvl w:val="3"/>
        <w:numId w:val="1"/>
      </w:numPr>
      <w:ind w:left="862" w:hanging="862"/>
      <w:outlineLvl w:val="3"/>
    </w:pPr>
    <w:rPr>
      <w:b/>
      <w:bCs/>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qFormat/>
    <w:uiPriority w:val="39"/>
    <w:pPr>
      <w:tabs>
        <w:tab w:val="left" w:pos="900"/>
        <w:tab w:val="left" w:pos="1260"/>
        <w:tab w:val="right" w:leader="dot" w:pos="8222"/>
      </w:tabs>
      <w:spacing w:line="400" w:lineRule="exact"/>
      <w:ind w:left="210" w:firstLine="100" w:firstLineChars="100"/>
    </w:pPr>
    <w:rPr>
      <w:kern w:val="2"/>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8222"/>
      </w:tabs>
      <w:spacing w:line="400" w:lineRule="exact"/>
    </w:pPr>
    <w:rPr>
      <w:b/>
      <w:bCs/>
      <w:kern w:val="2"/>
      <w:lang w:val="en-US"/>
    </w:rPr>
  </w:style>
  <w:style w:type="paragraph" w:styleId="20">
    <w:name w:val="toc 2"/>
    <w:basedOn w:val="1"/>
    <w:next w:val="1"/>
    <w:qFormat/>
    <w:uiPriority w:val="39"/>
    <w:pPr>
      <w:tabs>
        <w:tab w:val="left" w:pos="540"/>
        <w:tab w:val="left" w:pos="840"/>
        <w:tab w:val="right" w:leader="dot" w:pos="8222"/>
        <w:tab w:val="right" w:leader="dot" w:pos="8296"/>
      </w:tabs>
      <w:spacing w:line="40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rFonts w:eastAsia="微软雅黑"/>
      <w:b/>
      <w:bCs/>
      <w:kern w:val="32"/>
      <w:sz w:val="28"/>
      <w:szCs w:val="28"/>
    </w:rPr>
  </w:style>
  <w:style w:type="character" w:customStyle="1" w:styleId="28">
    <w:name w:val="标题 2 字符"/>
    <w:link w:val="4"/>
    <w:qFormat/>
    <w:uiPriority w:val="0"/>
    <w:rPr>
      <w:rFonts w:ascii="微软雅黑" w:hAnsi="微软雅黑" w:eastAsia="微软雅黑" w:cs="微软雅黑"/>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rFonts w:ascii="微软雅黑" w:hAnsi="微软雅黑" w:eastAsia="微软雅黑" w:cs="微软雅黑"/>
      <w:b/>
      <w:bCs/>
      <w:sz w:val="21"/>
      <w:szCs w:val="21"/>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0\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4A8A27-FDC9-4E87-B56C-41D9041062CF}">
  <ds:schemaRefs/>
</ds:datastoreItem>
</file>

<file path=docProps/app.xml><?xml version="1.0" encoding="utf-8"?>
<Properties xmlns="http://schemas.openxmlformats.org/officeDocument/2006/extended-properties" xmlns:vt="http://schemas.openxmlformats.org/officeDocument/2006/docPropsVTypes">
  <Template>tmp4.dotx</Template>
  <Pages>16</Pages>
  <Words>4224</Words>
  <Characters>5016</Characters>
  <Lines>47</Lines>
  <Paragraphs>13</Paragraphs>
  <TotalTime>1</TotalTime>
  <ScaleCrop>false</ScaleCrop>
  <LinksUpToDate>false</LinksUpToDate>
  <CharactersWithSpaces>5161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2026-01-02T07:48:00Z</dcterms:created>
  <dc:creator>闪电皮皮</dc:creator>
  <cp:lastModifiedBy>闪电皮皮</cp:lastModifiedBy>
  <dcterms:modified xsi:type="dcterms:W3CDTF">2026-01-02T07:49:46Z</dcterms:modified>
  <dc:title>室外风环境模拟分析报告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B9815C2DADCD4423B7683B9A3C5976D0_12</vt:lpwstr>
  </property>
</Properties>
</file>