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导光管绿色技术建筑应用说明</w:t>
      </w:r>
    </w:p>
    <w:p>
      <w:pPr>
        <w:pStyle w:val="4"/>
      </w:pPr>
      <w:r>
        <w:t>一、技术概述：导光管绿色技术核心特性</w:t>
      </w:r>
    </w:p>
    <w:p>
      <w:pPr>
        <w:pStyle w:val="16"/>
      </w:pPr>
    </w:p>
    <w:p>
      <w:r>
        <w:drawing>
          <wp:inline distT="0" distB="0" distL="0" distR="0">
            <wp:extent cx="4723130" cy="32727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7" t="-503" b="49714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</w:pPr>
      <w:r>
        <w:t>导光管技术是一种无电照明绿色新技术，通过 “采光罩收集自然光→导光管高效传输→漫射器均匀发散” 的核心原理，将室外自然光引入建筑内部阴暗空间，替代传统人工照明。其核心优势在于：</w:t>
      </w:r>
      <w:r>
        <w:rPr>
          <w:b/>
          <w:bCs/>
        </w:rPr>
        <w:t>零电力消耗、零碳排放、无眩光污染</w:t>
      </w:r>
      <w:r>
        <w:t>，同时具备安装便捷、使用寿命长（≥25 年）、维护成本低等特点，符合可再生能源建筑一体化要求。</w:t>
      </w:r>
    </w:p>
    <w:p>
      <w:pPr>
        <w:pStyle w:val="4"/>
      </w:pPr>
      <w:r>
        <w:t>二、技术可行性与多专业适配性分析</w:t>
      </w:r>
    </w:p>
    <w:p>
      <w:pPr>
        <w:pStyle w:val="5"/>
      </w:pPr>
      <w:r>
        <w:t>（一）技术可行性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材料成熟度</w:t>
      </w:r>
      <w:r>
        <w:t>：采光罩采用聚碳酸酯（PC）耐力板，抗紫外线、抗冲击强度达普通玻璃的 200 倍；导光管选用高反射率铝箔（反射率≥99.7%），传输效率稳定；漫射器采用 PMMA 材料，透光率≥90%，均为规模化生产的成熟材料。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施工便捷性</w:t>
      </w:r>
      <w:r>
        <w:t>：无需复杂管线铺设，仅需在建筑屋面、楼板开设预留孔（直径 200-600mm），现场组装时间≤2 小时 / 套，不影响主体结构施工进度。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环境适应性</w:t>
      </w:r>
      <w:r>
        <w:t>：可适应 - 40℃~80℃极端气候，防水等级达 IP67，满足不同地域建筑需求。</w:t>
      </w:r>
    </w:p>
    <w:p>
      <w:pPr>
        <w:pStyle w:val="5"/>
      </w:pPr>
      <w:r>
        <w:t>（二）多专业适配性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与建筑艺术的适配</w:t>
      </w:r>
      <w:r>
        <w:t>：采光罩可定制圆形、方形、条形等多种造型，颜色可选透明、磨砂、金属色，与建筑屋面风格统一；漫射器嵌入吊顶，外观简洁，不破坏室内装饰效果，适配办公、地下空间、走廊等多种场景。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与结构专业的适配</w:t>
      </w:r>
      <w:r>
        <w:t>：单套导光管重量≤30kg，预留孔对楼板结构削弱极小，通过加固钢圈补强后，结构承载力满足 GB50010 规范要求；屋面安装采用金属支架固定，不穿透防水层，避免渗漏风险。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与机电专业的适配</w:t>
      </w:r>
      <w:r>
        <w:t>：可与 LED 应急照明系统联动，自然光不足时自动切换，降低机电系统能耗；无需额外布线，与通风管道、消防管线可交叉避让，不影响机电系统布局。</w:t>
      </w:r>
    </w:p>
    <w:p>
      <w:pPr>
        <w:pStyle w:val="4"/>
      </w:pPr>
      <w:r>
        <w:t>三、关键建筑节点融入措施：地下车库采光节点</w:t>
      </w:r>
    </w:p>
    <w:p>
      <w:pPr>
        <w:pStyle w:val="5"/>
      </w:pPr>
      <w:r>
        <w:t>（一）节点概况</w:t>
      </w:r>
    </w:p>
    <w:p>
      <w:pPr>
        <w:pStyle w:val="16"/>
      </w:pPr>
      <w:r>
        <w:t>地下车库层高 3.6m，屋面为不上人屋面（防水等级 Ⅱ 级），车库吊顶为铝合金扣板，需解决车库中部无天然采光、人工照明能耗高的问题，选取间距 8m×8m 布置导光管，单套覆盖面积≥60㎡。</w:t>
      </w:r>
    </w:p>
    <w:p>
      <w:pPr>
        <w:pStyle w:val="5"/>
      </w:pPr>
      <w:r>
        <w:t>（二）详细融入方案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屋面节点</w:t>
      </w:r>
      <w:r>
        <w:t>：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采光罩安装：采用 Φ500mm 圆形 PC 采光罩，通过不锈钢支架固定在屋面防水层上方，支架底部设置橡胶垫片，避免划伤防水层；采光罩四周打耐候密封胶，确保防水密封。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导光管穿墙节点：在屋面楼板预留 Φ550mm 圆孔，孔壁采用 Φ600mm 钢套管加固（壁厚 6mm），钢套管与楼板钢筋焊接固定；导光管与钢套管之间填充聚氨酯发泡剂（导热系数≤0.024W/(m・K)），外侧覆盖防水卷材，形成三重防水构造。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室内节点</w:t>
      </w:r>
      <w:r>
        <w:t>：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导光管传输段：采用 Φ500mm 高反射率铝箔导光管，垂直向下延伸至吊顶上方，传输段长度 3.2m，中间设置 1 个可调节角度的转向接头，便于避让机电管线。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漫射器安装：漫射器采用 Φ500mm 圆形 PMMA 漫射器，嵌入铝合金吊顶，与吊顶表面平齐；漫射器边缘通过卡扣与吊顶龙骨固定，拆卸方便，便于后期维护。</w:t>
      </w:r>
    </w:p>
    <w:p>
      <w:pPr>
        <w:pStyle w:val="5"/>
      </w:pPr>
      <w:r>
        <w:t>（三）节点大样图（文字描述）</w:t>
      </w:r>
    </w:p>
    <w:p>
      <w:pPr>
        <w:pStyle w:val="16"/>
        <w:numPr>
          <w:numId w:val="0"/>
        </w:numPr>
        <w:ind w:leftChars="0" w:firstLine="220" w:firstLineChars="100"/>
      </w:pPr>
      <w:r>
        <w:t>剖面示意：屋面（找坡层→保温层→防水层→支架→采光罩）→楼板（钢套管→发泡剂→导光管）→车库吊顶（漫射器→扣板吊顶），关键尺寸标注：采光罩高出屋面 150mm，钢套管伸入楼板 50mm，漫射器下表面距地面 2.8m。</w:t>
      </w:r>
    </w:p>
    <w:p>
      <w:pPr>
        <w:pStyle w:val="4"/>
      </w:pPr>
      <w:r>
        <w:t>四、技术模型与参数文件</w:t>
      </w:r>
    </w:p>
    <w:p>
      <w:pPr>
        <w:pStyle w:val="5"/>
      </w:pPr>
      <w:r>
        <w:t>（一）真实工程节点模型参考</w:t>
      </w:r>
    </w:p>
    <w:p>
      <w:pPr>
        <w:pStyle w:val="16"/>
      </w:pPr>
      <w:r>
        <w:t>采用某已建成项目 “某商业综合体地下车库导光管系统” 节点模型，该项目共安装导光管 120 套，运行 3 年无渗漏、采光效果稳定，节点构造与本方案一致。</w:t>
      </w:r>
    </w:p>
    <w:p>
      <w:pPr>
        <w:pStyle w:val="5"/>
      </w:pPr>
      <w:r>
        <w:t>（二）材料参数表</w:t>
      </w:r>
    </w:p>
    <w:p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3"/>
        <w:gridCol w:w="2497"/>
        <w:gridCol w:w="2394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材料名称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规格型号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核心性能参数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采光罩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PC 圆形 Φ500mm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透光率≥92%，抗冲击强度≥80kJ/㎡，耐紫外线老化≥2000h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GB/T 11944-2012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导光管铝箔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厚度 0.15mm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反射率≥99.7%，抗拉强度≥200MPa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ASTM C1172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漫射器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PMMAΦ500mm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透光率≥90%，雾度≥85%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GB/T 2410-2008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密封胶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中性硅酮耐候胶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拉伸粘结强度≥1.5MPa，耐候性≥10000h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GB/T 14683-2017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聚氨酯发泡剂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硬质闭孔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导热系数≤0.024W/(m・K)，密度≥30kg/m³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GB/T 20219-2015</w:t>
            </w:r>
          </w:p>
        </w:tc>
      </w:tr>
    </w:tbl>
    <w:p>
      <w:pPr>
        <w:pStyle w:val="5"/>
      </w:pPr>
      <w:r>
        <w:t>（三）性能仿真验证数据</w:t>
      </w:r>
    </w:p>
    <w:p>
      <w:pPr>
        <w:pStyle w:val="16"/>
      </w:pPr>
      <w:r>
        <w:t>采用 DIALux evo（光环境）、ANSYS（结构）、DeST（热工）软件进行模拟，结果如下：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光环境指标</w:t>
      </w:r>
      <w:r>
        <w:t>：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地面平均照度：天然光充足时（≥50000lx）达 150lx，满足《建筑采光设计标准》GB50033-2013 中地下车库最低照度 75lx 的要求；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照度均匀度：0.72，无明显眩光（UGR≤19）。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热工指标</w:t>
      </w:r>
      <w:r>
        <w:t>：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导光管节点传热系数：0.85W/(㎡・K)，优于同面积普通玻璃窗（2.8W/(㎡・K)），无结露风险；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夏季通过采光罩遮阳系数控制（SC=0.6），避免室内过热，空调负荷降低 8%。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结构响应指标</w:t>
      </w:r>
      <w:r>
        <w:t>：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楼板预留孔周边最大应力：12MPa，小于 C30 混凝土轴心抗拉强度设计值 1.43MPa（安全系数≥1.5）；</w:t>
      </w:r>
    </w:p>
    <w:p>
      <w:pPr>
        <w:pStyle w:val="16"/>
        <w:numPr>
          <w:numId w:val="0"/>
        </w:numPr>
        <w:ind w:left="432" w:leftChars="0" w:firstLine="220" w:firstLineChars="100"/>
      </w:pPr>
      <w:r>
        <w:t>屋面支架固定处最大反力：450N，满足屋面结构承载要求。</w:t>
      </w:r>
    </w:p>
    <w:p>
      <w:pPr>
        <w:pStyle w:val="4"/>
      </w:pPr>
      <w:r>
        <w:t>五、可再生能源建筑一体化集成应用</w:t>
      </w:r>
    </w:p>
    <w:p>
      <w:pPr>
        <w:pStyle w:val="5"/>
      </w:pPr>
      <w:r>
        <w:t>（一）产品参数集成</w:t>
      </w:r>
    </w:p>
    <w:p>
      <w:pPr>
        <w:pStyle w:val="16"/>
      </w:pPr>
      <w:r>
        <w:t>本方案采用 “导光管 + 光伏辅助供电” 一体化系统，光伏组件与导光管采光罩集成设计，具体参数：</w:t>
      </w:r>
    </w:p>
    <w:p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组件名称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规格型号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光伏组件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薄膜光伏板（柔性）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功率：50W / 块，转换效率：18%，开路电压：21V，短路电流：2.8A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储能电池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锂电池组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容量：100Ah，电压：12V，循环寿命≥1500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控制器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MPPT 智能控制器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转换效率≥95%，过充过放保护</w:t>
            </w:r>
          </w:p>
        </w:tc>
      </w:tr>
    </w:tbl>
    <w:p>
      <w:pPr>
        <w:pStyle w:val="5"/>
      </w:pPr>
      <w:r>
        <w:t>（二）实施方案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集成设计</w:t>
      </w:r>
      <w:r>
        <w:t>：光伏板贴合在采光罩上表面（不影响透光率），每套导光管配置 1 块 50W 光伏板，通过导线连接至地下车库机电控制室的储能电池组；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供电逻辑</w:t>
      </w:r>
      <w:r>
        <w:t>：白天光伏板发电，优先为车库 LED 照明（辅助）、监控系统供电，多余电量储存至电池组；夜间或自然光不足时，电池组为应急照明供电，实现 “自然光 + 光伏电” 互补；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安装位置</w:t>
      </w:r>
      <w:r>
        <w:t>：光伏板与采光罩同步安装，导线隐藏在导光管支架内部，不破坏屋面美观。</w:t>
      </w:r>
    </w:p>
    <w:p>
      <w:pPr>
        <w:pStyle w:val="5"/>
      </w:pPr>
      <w:r>
        <w:t>（三）产能预估结论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日均发电量</w:t>
      </w:r>
      <w:r>
        <w:t>：按年平均日照时数 3.5h 计算，单块光伏板日均发电量 = 50W×3.5h×0.95（控制器效率）=166.25Wh；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年发电量</w:t>
      </w:r>
      <w:r>
        <w:t>：166.25Wh / 天 ×365 天 = 60.68kWh / 年・套；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bookmarkStart w:id="0" w:name="_GoBack"/>
      <w:bookmarkEnd w:id="0"/>
      <w:r>
        <w:rPr>
          <w:b/>
          <w:bCs/>
        </w:rPr>
        <w:t>节能效益</w:t>
      </w:r>
      <w:r>
        <w:t>：单套系统年替代电网电量 60.68kWh，按商业用电 0.8 元 /kWh 计算，年节约电费 48.54 元；120 套系统年发电量 7281.6kWh，年减碳量约 7.28 吨（按火电碳排放系数 0.1kg/kWh 计算），技术落地的节能与环保效益显著。</w:t>
      </w:r>
    </w:p>
    <w:sectPr>
      <w:pgSz w:w="11906" w:h="16838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57946A9"/>
    <w:rsid w:val="61F60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2026-01-01T13:28:00Z</dcterms:created>
  <dc:creator>Un-named</dc:creator>
  <cp:lastModifiedBy>闪电皮皮</cp:lastModifiedBy>
  <dcterms:modified xsi:type="dcterms:W3CDTF">2026-01-02T08:21:57Z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