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0" w:name="_Hlk172641977"/>
      <w:bookmarkStart w:id="1" w:name="_Hlk172625514"/>
      <w:bookmarkStart w:id="82" w:name="_GoBack"/>
      <w:bookmarkEnd w:id="82"/>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41C4B28B"/>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rPr>
              <w:t>淮北</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902B2B3">
            <w:pPr>
              <w:spacing w:line="600" w:lineRule="exact"/>
              <w:rPr>
                <w:sz w:val="24"/>
                <w:szCs w:val="24"/>
              </w:rPr>
            </w:pPr>
            <w:bookmarkStart w:id="8" w:name="设计单位"/>
            <w:bookmarkEnd w:id="8"/>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F12D5FA">
            <w:pPr>
              <w:spacing w:line="600" w:lineRule="exact"/>
              <w:rPr>
                <w:sz w:val="24"/>
                <w:szCs w:val="24"/>
              </w:rPr>
            </w:pP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5F315C3">
            <w:pPr>
              <w:spacing w:line="600" w:lineRule="exact"/>
              <w:rPr>
                <w:sz w:val="24"/>
                <w:szCs w:val="24"/>
              </w:rPr>
            </w:pP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3AB8CCD">
            <w:pPr>
              <w:spacing w:line="600" w:lineRule="exact"/>
              <w:rPr>
                <w:sz w:val="24"/>
                <w:szCs w:val="24"/>
              </w:rPr>
            </w:pP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2026年1月4日</w:t>
            </w:r>
            <w:bookmarkEnd w:id="9"/>
          </w:p>
        </w:tc>
      </w:tr>
    </w:tbl>
    <w:p w14:paraId="2D56FF8C">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T18915315418</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6DC534BE">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_Toc19798 </w:instrText>
          </w:r>
          <w:r>
            <w:fldChar w:fldCharType="separate"/>
          </w:r>
          <w:r>
            <w:rPr>
              <w:rFonts w:hint="eastAsia"/>
            </w:rPr>
            <w:t>1. 建筑概况</w:t>
          </w:r>
          <w:r>
            <w:tab/>
          </w:r>
          <w:r>
            <w:fldChar w:fldCharType="begin"/>
          </w:r>
          <w:r>
            <w:instrText xml:space="preserve"> PAGEREF _Toc19798 \h </w:instrText>
          </w:r>
          <w:r>
            <w:fldChar w:fldCharType="separate"/>
          </w:r>
          <w:r>
            <w:t>3</w:t>
          </w:r>
          <w:r>
            <w:fldChar w:fldCharType="end"/>
          </w:r>
          <w:r>
            <w:fldChar w:fldCharType="end"/>
          </w:r>
        </w:p>
        <w:p w14:paraId="5B8A1031">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_Toc18876 </w:instrText>
          </w:r>
          <w:r>
            <w:rPr>
              <w:bCs/>
              <w:lang w:val="zh-CN"/>
            </w:rPr>
            <w:fldChar w:fldCharType="separate"/>
          </w:r>
          <w:r>
            <w:rPr>
              <w:rFonts w:hint="eastAsia"/>
            </w:rPr>
            <w:t>2. 设计依据</w:t>
          </w:r>
          <w:r>
            <w:tab/>
          </w:r>
          <w:r>
            <w:fldChar w:fldCharType="begin"/>
          </w:r>
          <w:r>
            <w:instrText xml:space="preserve"> PAGEREF _Toc18876 \h </w:instrText>
          </w:r>
          <w:r>
            <w:fldChar w:fldCharType="separate"/>
          </w:r>
          <w:r>
            <w:t>3</w:t>
          </w:r>
          <w:r>
            <w:fldChar w:fldCharType="end"/>
          </w:r>
          <w:r>
            <w:rPr>
              <w:bCs/>
              <w:lang w:val="zh-CN"/>
            </w:rPr>
            <w:fldChar w:fldCharType="end"/>
          </w:r>
        </w:p>
        <w:p w14:paraId="10809BE5">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_Toc2599 </w:instrText>
          </w:r>
          <w:r>
            <w:rPr>
              <w:bCs/>
              <w:lang w:val="zh-CN"/>
            </w:rPr>
            <w:fldChar w:fldCharType="separate"/>
          </w:r>
          <w:r>
            <w:rPr>
              <w:rFonts w:hint="eastAsia"/>
            </w:rPr>
            <w:t>3. 标准要求</w:t>
          </w:r>
          <w:r>
            <w:tab/>
          </w:r>
          <w:r>
            <w:fldChar w:fldCharType="begin"/>
          </w:r>
          <w:r>
            <w:instrText xml:space="preserve"> PAGEREF _Toc2599 \h </w:instrText>
          </w:r>
          <w:r>
            <w:fldChar w:fldCharType="separate"/>
          </w:r>
          <w:r>
            <w:t>3</w:t>
          </w:r>
          <w:r>
            <w:fldChar w:fldCharType="end"/>
          </w:r>
          <w:r>
            <w:rPr>
              <w:bCs/>
              <w:lang w:val="zh-CN"/>
            </w:rPr>
            <w:fldChar w:fldCharType="end"/>
          </w:r>
        </w:p>
        <w:p w14:paraId="2F04DDA1">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_Toc23554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_Toc23554 \h </w:instrText>
          </w:r>
          <w:r>
            <w:fldChar w:fldCharType="separate"/>
          </w:r>
          <w:r>
            <w:t>4</w:t>
          </w:r>
          <w:r>
            <w:fldChar w:fldCharType="end"/>
          </w:r>
          <w:r>
            <w:rPr>
              <w:bCs/>
              <w:lang w:val="zh-CN"/>
            </w:rPr>
            <w:fldChar w:fldCharType="end"/>
          </w:r>
        </w:p>
        <w:p w14:paraId="5F11604C">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_Toc20814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_Toc20814 \h </w:instrText>
          </w:r>
          <w:r>
            <w:fldChar w:fldCharType="separate"/>
          </w:r>
          <w:r>
            <w:t>4</w:t>
          </w:r>
          <w:r>
            <w:fldChar w:fldCharType="end"/>
          </w:r>
          <w:r>
            <w:rPr>
              <w:bCs/>
              <w:lang w:val="zh-CN"/>
            </w:rPr>
            <w:fldChar w:fldCharType="end"/>
          </w:r>
        </w:p>
        <w:p w14:paraId="190B3213">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_Toc1089 </w:instrText>
          </w:r>
          <w:r>
            <w:rPr>
              <w:bCs/>
              <w:lang w:val="zh-CN"/>
            </w:rPr>
            <w:fldChar w:fldCharType="separate"/>
          </w:r>
          <w:r>
            <w:rPr>
              <w:rFonts w:hint="eastAsia"/>
              <w:lang w:val="en-GB"/>
            </w:rPr>
            <w:t xml:space="preserve">4.2 </w:t>
          </w:r>
          <w:r>
            <w:t>分析软件</w:t>
          </w:r>
          <w:r>
            <w:tab/>
          </w:r>
          <w:r>
            <w:fldChar w:fldCharType="begin"/>
          </w:r>
          <w:r>
            <w:instrText xml:space="preserve"> PAGEREF _Toc1089 \h </w:instrText>
          </w:r>
          <w:r>
            <w:fldChar w:fldCharType="separate"/>
          </w:r>
          <w:r>
            <w:t>5</w:t>
          </w:r>
          <w:r>
            <w:fldChar w:fldCharType="end"/>
          </w:r>
          <w:r>
            <w:rPr>
              <w:bCs/>
              <w:lang w:val="zh-CN"/>
            </w:rPr>
            <w:fldChar w:fldCharType="end"/>
          </w:r>
        </w:p>
        <w:p w14:paraId="1BAA61D3">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_Toc30870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_Toc30870 \h </w:instrText>
          </w:r>
          <w:r>
            <w:fldChar w:fldCharType="separate"/>
          </w:r>
          <w:r>
            <w:t>5</w:t>
          </w:r>
          <w:r>
            <w:fldChar w:fldCharType="end"/>
          </w:r>
          <w:r>
            <w:rPr>
              <w:bCs/>
              <w:lang w:val="zh-CN"/>
            </w:rPr>
            <w:fldChar w:fldCharType="end"/>
          </w:r>
        </w:p>
        <w:p w14:paraId="4D4D4EFC">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_Toc25337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_Toc25337 \h </w:instrText>
          </w:r>
          <w:r>
            <w:fldChar w:fldCharType="separate"/>
          </w:r>
          <w:r>
            <w:t>6</w:t>
          </w:r>
          <w:r>
            <w:fldChar w:fldCharType="end"/>
          </w:r>
          <w:r>
            <w:rPr>
              <w:bCs/>
              <w:lang w:val="zh-CN"/>
            </w:rPr>
            <w:fldChar w:fldCharType="end"/>
          </w:r>
        </w:p>
        <w:p w14:paraId="57B0EE46">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_Toc16600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_Toc16600 \h </w:instrText>
          </w:r>
          <w:r>
            <w:fldChar w:fldCharType="separate"/>
          </w:r>
          <w:r>
            <w:t>6</w:t>
          </w:r>
          <w:r>
            <w:fldChar w:fldCharType="end"/>
          </w:r>
          <w:r>
            <w:rPr>
              <w:bCs/>
              <w:lang w:val="zh-CN"/>
            </w:rPr>
            <w:fldChar w:fldCharType="end"/>
          </w:r>
        </w:p>
        <w:p w14:paraId="18198330">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_Toc13973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_Toc13973 \h </w:instrText>
          </w:r>
          <w:r>
            <w:fldChar w:fldCharType="separate"/>
          </w:r>
          <w:r>
            <w:t>6</w:t>
          </w:r>
          <w:r>
            <w:fldChar w:fldCharType="end"/>
          </w:r>
          <w:r>
            <w:rPr>
              <w:bCs/>
              <w:lang w:val="zh-CN"/>
            </w:rPr>
            <w:fldChar w:fldCharType="end"/>
          </w:r>
        </w:p>
        <w:p w14:paraId="6487BC38">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_Toc13308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_Toc13308 \h </w:instrText>
          </w:r>
          <w:r>
            <w:fldChar w:fldCharType="separate"/>
          </w:r>
          <w:r>
            <w:t>6</w:t>
          </w:r>
          <w:r>
            <w:fldChar w:fldCharType="end"/>
          </w:r>
          <w:r>
            <w:rPr>
              <w:bCs/>
              <w:lang w:val="zh-CN"/>
            </w:rPr>
            <w:fldChar w:fldCharType="end"/>
          </w:r>
        </w:p>
        <w:p w14:paraId="32740CFF">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_Toc14816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_Toc14816 \h </w:instrText>
          </w:r>
          <w:r>
            <w:fldChar w:fldCharType="separate"/>
          </w:r>
          <w:r>
            <w:t>7</w:t>
          </w:r>
          <w:r>
            <w:fldChar w:fldCharType="end"/>
          </w:r>
          <w:r>
            <w:rPr>
              <w:bCs/>
              <w:lang w:val="zh-CN"/>
            </w:rPr>
            <w:fldChar w:fldCharType="end"/>
          </w:r>
        </w:p>
        <w:p w14:paraId="423AD6E2">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_Toc8222 </w:instrText>
          </w:r>
          <w:r>
            <w:rPr>
              <w:bCs/>
              <w:lang w:val="zh-CN"/>
            </w:rPr>
            <w:fldChar w:fldCharType="separate"/>
          </w:r>
          <w:r>
            <w:rPr>
              <w:rFonts w:hint="eastAsia"/>
            </w:rPr>
            <w:t>6. 房间模拟</w:t>
          </w:r>
          <w:r>
            <w:t>结果</w:t>
          </w:r>
          <w:r>
            <w:tab/>
          </w:r>
          <w:r>
            <w:fldChar w:fldCharType="begin"/>
          </w:r>
          <w:r>
            <w:instrText xml:space="preserve"> PAGEREF _Toc8222 \h </w:instrText>
          </w:r>
          <w:r>
            <w:fldChar w:fldCharType="separate"/>
          </w:r>
          <w:r>
            <w:t>7</w:t>
          </w:r>
          <w:r>
            <w:fldChar w:fldCharType="end"/>
          </w:r>
          <w:r>
            <w:rPr>
              <w:bCs/>
              <w:lang w:val="zh-CN"/>
            </w:rPr>
            <w:fldChar w:fldCharType="end"/>
          </w:r>
        </w:p>
        <w:p w14:paraId="008D6F1F">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_Toc28433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_Toc28433 \h </w:instrText>
          </w:r>
          <w:r>
            <w:fldChar w:fldCharType="separate"/>
          </w:r>
          <w:r>
            <w:t>7</w:t>
          </w:r>
          <w:r>
            <w:fldChar w:fldCharType="end"/>
          </w:r>
          <w:r>
            <w:rPr>
              <w:bCs/>
              <w:lang w:val="zh-CN"/>
            </w:rPr>
            <w:fldChar w:fldCharType="end"/>
          </w:r>
        </w:p>
        <w:p w14:paraId="109D30B9">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_Toc226 </w:instrText>
          </w:r>
          <w:r>
            <w:rPr>
              <w:bCs/>
              <w:lang w:val="zh-CN"/>
            </w:rPr>
            <w:fldChar w:fldCharType="separate"/>
          </w:r>
          <w:r>
            <w:rPr>
              <w:rFonts w:hint="eastAsia"/>
            </w:rPr>
            <w:t>8. 结论</w:t>
          </w:r>
          <w:r>
            <w:tab/>
          </w:r>
          <w:r>
            <w:fldChar w:fldCharType="begin"/>
          </w:r>
          <w:r>
            <w:instrText xml:space="preserve"> PAGEREF _Toc226 \h </w:instrText>
          </w:r>
          <w:r>
            <w:fldChar w:fldCharType="separate"/>
          </w:r>
          <w:r>
            <w:t>9</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19798"/>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淮北</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IV</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1.10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sz w:val="18"/>
                <w:szCs w:val="18"/>
                <w:lang w:val="en-US"/>
              </w:rPr>
              <w:t xml:space="preserve">地上  </w:t>
            </w:r>
            <w:bookmarkStart w:id="18" w:name="地上建筑面积"/>
            <w:r>
              <w:t>158.13</w:t>
            </w:r>
            <w:bookmarkEnd w:id="18"/>
            <w:r>
              <w:rPr>
                <w:rFonts w:hint="eastAsia"/>
                <w:sz w:val="18"/>
                <w:szCs w:val="18"/>
              </w:rPr>
              <w:t>㎡</w:t>
            </w:r>
            <w:r>
              <w:rPr>
                <w:rFonts w:hint="eastAsia"/>
                <w:sz w:val="18"/>
                <w:szCs w:val="18"/>
                <w:lang w:val="en-US"/>
              </w:rPr>
              <w:t xml:space="preserve">    地下  </w:t>
            </w:r>
            <w:bookmarkStart w:id="19" w:name="地下建筑面积"/>
            <w:r>
              <w:t>0.00</w:t>
            </w:r>
            <w:bookmarkEnd w:id="19"/>
            <w:r>
              <w:rPr>
                <w:rFonts w:hint="eastAsia"/>
                <w:sz w:val="18"/>
                <w:szCs w:val="18"/>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sz w:val="18"/>
                <w:szCs w:val="18"/>
                <w:lang w:val="en-US"/>
              </w:rPr>
            </w:pPr>
            <w:r>
              <w:rPr>
                <w:rFonts w:hint="eastAsia"/>
                <w:sz w:val="18"/>
                <w:szCs w:val="18"/>
                <w:lang w:val="en-US"/>
              </w:rPr>
              <w:t xml:space="preserve">地上  </w:t>
            </w:r>
            <w:bookmarkStart w:id="20" w:name="地上建筑层数"/>
            <w:r>
              <w:t>2</w:t>
            </w:r>
            <w:bookmarkEnd w:id="20"/>
            <w:r>
              <w:rPr>
                <w:rFonts w:hint="eastAsia"/>
                <w:sz w:val="18"/>
                <w:szCs w:val="18"/>
                <w:lang w:val="en-US"/>
              </w:rPr>
              <w:t xml:space="preserve">          地下</w:t>
            </w:r>
            <w:bookmarkStart w:id="21" w:name="地下建筑层数"/>
            <w:r>
              <w:t>0</w:t>
            </w:r>
            <w:bookmarkEnd w:id="21"/>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2" w:name="地上建筑高度"/>
            <w:r>
              <w:t>5.40</w:t>
            </w:r>
            <w:bookmarkEnd w:id="22"/>
            <w:r>
              <w:rPr>
                <w:rFonts w:hint="eastAsia"/>
                <w:sz w:val="18"/>
                <w:szCs w:val="18"/>
                <w:lang w:val="en-US"/>
              </w:rPr>
              <w:t xml:space="preserve"> m     地下  </w:t>
            </w:r>
            <w:bookmarkStart w:id="23" w:name="地下建筑高度"/>
            <w:r>
              <w:t>0.00</w:t>
            </w:r>
            <w:bookmarkEnd w:id="23"/>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4" w:name="备注"/>
            <w:bookmarkEnd w:id="24"/>
          </w:p>
        </w:tc>
      </w:tr>
    </w:tbl>
    <w:p w14:paraId="38B394B0">
      <w:pPr>
        <w:rPr>
          <w:lang w:val="en-US"/>
        </w:rPr>
      </w:pPr>
    </w:p>
    <w:p w14:paraId="5C5BF349">
      <w:pPr>
        <w:pStyle w:val="2"/>
        <w:ind w:left="432" w:hanging="432"/>
      </w:pPr>
      <w:bookmarkStart w:id="25" w:name="_Toc18876"/>
      <w:r>
        <w:rPr>
          <w:rFonts w:hint="eastAsia"/>
        </w:rPr>
        <w:t>设计依据</w:t>
      </w:r>
      <w:bookmarkEnd w:id="25"/>
    </w:p>
    <w:p w14:paraId="4E911F12">
      <w:pPr>
        <w:pStyle w:val="3"/>
        <w:spacing w:line="360" w:lineRule="exact"/>
        <w:ind w:left="840" w:hanging="420"/>
        <w:rPr>
          <w:lang w:val="en-US"/>
        </w:rPr>
      </w:pPr>
      <w:r>
        <w:rPr>
          <w:rFonts w:hint="eastAsia"/>
          <w:lang w:val="en-US"/>
        </w:rPr>
        <w:t xml:space="preserve">1） 《建筑采光设计标准》 ( </w:t>
      </w:r>
      <w:bookmarkStart w:id="26" w:name="采光标准"/>
      <w:r>
        <w:t>GB50033-2013</w:t>
      </w:r>
      <w:bookmarkEnd w:id="26"/>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7" w:name="_Toc2599"/>
      <w:r>
        <w:rPr>
          <w:rFonts w:hint="eastAsia"/>
        </w:rPr>
        <w:t>标准要求</w:t>
      </w:r>
      <w:bookmarkEnd w:id="27"/>
    </w:p>
    <w:p w14:paraId="06B9D680">
      <w:pPr>
        <w:pStyle w:val="3"/>
        <w:ind w:firstLine="420"/>
        <w:rPr>
          <w:lang w:val="en-US"/>
        </w:rPr>
      </w:pPr>
      <w:r>
        <w:rPr>
          <w:rFonts w:hint="eastAsia"/>
          <w:lang w:val="en-US"/>
        </w:rPr>
        <w:t>本项目为</w:t>
      </w:r>
      <w:bookmarkStart w:id="28" w:name="建筑类型"/>
      <w:r>
        <w:rPr>
          <w:rFonts w:hint="eastAsia"/>
          <w:lang w:val="en-US"/>
        </w:rPr>
        <w:t>居住建筑</w:t>
      </w:r>
      <w:bookmarkEnd w:id="28"/>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C5948A8">
      <w:pPr>
        <w:ind w:firstLine="420"/>
        <w:jc w:val="left"/>
        <w:rPr>
          <w:rFonts w:ascii="微软雅黑" w:hAnsi="微软雅黑" w:eastAsia="微软雅黑"/>
        </w:rPr>
      </w:pPr>
      <w:bookmarkStart w:id="29" w:name="条文描述_居住建筑"/>
      <w:r>
        <w:rPr>
          <w:rFonts w:ascii="微软雅黑" w:hAnsi="微软雅黑" w:eastAsia="微软雅黑"/>
        </w:rPr>
        <w:t>4.0.3  住宅建筑的采光标准值不应低于表4.0.3的规定。</w:t>
      </w:r>
    </w:p>
    <w:p w14:paraId="38455862">
      <w:pPr>
        <w:ind w:left="902" w:firstLine="0" w:firstLineChars="0"/>
        <w:jc w:val="center"/>
        <w:rPr>
          <w:szCs w:val="21"/>
        </w:rPr>
      </w:pPr>
      <w:r>
        <w:rPr>
          <w:szCs w:val="21"/>
        </w:rPr>
        <w:t>表4.0.3  住宅建筑的采光标准值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2962"/>
        <w:gridCol w:w="2126"/>
        <w:gridCol w:w="2850"/>
      </w:tblGrid>
      <w:tr w14:paraId="7569AE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exact"/>
          <w:jc w:val="center"/>
        </w:trPr>
        <w:tc>
          <w:tcPr>
            <w:tcW w:w="709" w:type="dxa"/>
            <w:vMerge w:val="restart"/>
            <w:vAlign w:val="center"/>
          </w:tcPr>
          <w:p w14:paraId="575C6B1C">
            <w:pPr>
              <w:jc w:val="center"/>
            </w:pPr>
            <w:r>
              <w:t>采光等级</w:t>
            </w:r>
          </w:p>
        </w:tc>
        <w:tc>
          <w:tcPr>
            <w:tcW w:w="2962" w:type="dxa"/>
            <w:vMerge w:val="restart"/>
            <w:vAlign w:val="center"/>
          </w:tcPr>
          <w:p w14:paraId="0F860444">
            <w:pPr>
              <w:jc w:val="center"/>
              <w:rPr>
                <w:kern w:val="2"/>
              </w:rPr>
            </w:pPr>
            <w:r>
              <w:t>场所名称</w:t>
            </w:r>
          </w:p>
        </w:tc>
        <w:tc>
          <w:tcPr>
            <w:tcW w:w="4976" w:type="dxa"/>
            <w:gridSpan w:val="2"/>
            <w:vAlign w:val="center"/>
          </w:tcPr>
          <w:p w14:paraId="235E582E">
            <w:pPr>
              <w:jc w:val="center"/>
              <w:rPr>
                <w:kern w:val="2"/>
              </w:rPr>
            </w:pPr>
            <w:r>
              <w:t>侧面采光</w:t>
            </w:r>
          </w:p>
        </w:tc>
      </w:tr>
      <w:tr w14:paraId="3127B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44" w:hRule="exact"/>
          <w:jc w:val="center"/>
        </w:trPr>
        <w:tc>
          <w:tcPr>
            <w:tcW w:w="709" w:type="dxa"/>
            <w:vMerge w:val="continue"/>
            <w:vAlign w:val="center"/>
          </w:tcPr>
          <w:p w14:paraId="7253BEFD">
            <w:pPr>
              <w:jc w:val="center"/>
            </w:pPr>
          </w:p>
        </w:tc>
        <w:tc>
          <w:tcPr>
            <w:tcW w:w="2962" w:type="dxa"/>
            <w:vMerge w:val="continue"/>
            <w:vAlign w:val="center"/>
          </w:tcPr>
          <w:p w14:paraId="11D2E494">
            <w:pPr>
              <w:jc w:val="center"/>
            </w:pPr>
          </w:p>
        </w:tc>
        <w:tc>
          <w:tcPr>
            <w:tcW w:w="2126" w:type="dxa"/>
            <w:vAlign w:val="center"/>
          </w:tcPr>
          <w:p w14:paraId="6297AE32">
            <w:pPr>
              <w:jc w:val="center"/>
            </w:pPr>
            <w:r>
              <w:t>采光系数标准值（%）</w:t>
            </w:r>
          </w:p>
        </w:tc>
        <w:tc>
          <w:tcPr>
            <w:tcW w:w="2850" w:type="dxa"/>
            <w:vAlign w:val="center"/>
          </w:tcPr>
          <w:p w14:paraId="7002A959">
            <w:pPr>
              <w:jc w:val="center"/>
            </w:pPr>
            <w:r>
              <w:t>室内天然光照度标准值</w:t>
            </w:r>
            <w:r>
              <w:rPr>
                <w:rFonts w:hint="eastAsia"/>
              </w:rPr>
              <w:t>（lx</w:t>
            </w:r>
            <w:r>
              <w:t>）</w:t>
            </w:r>
          </w:p>
        </w:tc>
      </w:tr>
      <w:tr w14:paraId="452F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5CD0C2D3">
            <w:pPr>
              <w:jc w:val="center"/>
            </w:pPr>
            <w:r>
              <w:t>Ⅳ</w:t>
            </w:r>
          </w:p>
        </w:tc>
        <w:tc>
          <w:tcPr>
            <w:tcW w:w="2962" w:type="dxa"/>
            <w:vAlign w:val="center"/>
          </w:tcPr>
          <w:p w14:paraId="4FCF0380">
            <w:pPr>
              <w:jc w:val="center"/>
            </w:pPr>
            <w:r>
              <w:t>厨房</w:t>
            </w:r>
          </w:p>
        </w:tc>
        <w:tc>
          <w:tcPr>
            <w:tcW w:w="2126" w:type="dxa"/>
            <w:vAlign w:val="center"/>
          </w:tcPr>
          <w:p w14:paraId="53C62016">
            <w:pPr>
              <w:jc w:val="center"/>
            </w:pPr>
            <w:r>
              <w:t>2.0</w:t>
            </w:r>
          </w:p>
        </w:tc>
        <w:tc>
          <w:tcPr>
            <w:tcW w:w="2850" w:type="dxa"/>
            <w:vAlign w:val="center"/>
          </w:tcPr>
          <w:p w14:paraId="72C9DCFB">
            <w:pPr>
              <w:jc w:val="center"/>
            </w:pPr>
            <w:r>
              <w:t>300</w:t>
            </w:r>
          </w:p>
        </w:tc>
      </w:tr>
      <w:tr w14:paraId="725C1F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4B37F267">
            <w:pPr>
              <w:jc w:val="center"/>
            </w:pPr>
            <w:r>
              <w:t>Ⅴ</w:t>
            </w:r>
          </w:p>
        </w:tc>
        <w:tc>
          <w:tcPr>
            <w:tcW w:w="2962" w:type="dxa"/>
            <w:vAlign w:val="center"/>
          </w:tcPr>
          <w:p w14:paraId="3C5B2F49">
            <w:pPr>
              <w:jc w:val="center"/>
            </w:pPr>
            <w:r>
              <w:t>卫生间、过道、餐厅</w:t>
            </w:r>
            <w:r>
              <w:rPr>
                <w:rFonts w:hint="eastAsia"/>
              </w:rPr>
              <w:t>、</w:t>
            </w:r>
            <w:r>
              <w:t>楼梯间</w:t>
            </w:r>
          </w:p>
        </w:tc>
        <w:tc>
          <w:tcPr>
            <w:tcW w:w="2126" w:type="dxa"/>
            <w:vAlign w:val="center"/>
          </w:tcPr>
          <w:p w14:paraId="1131E381">
            <w:pPr>
              <w:jc w:val="center"/>
            </w:pPr>
            <w:r>
              <w:t>1.0</w:t>
            </w:r>
          </w:p>
          <w:p w14:paraId="41F1997D">
            <w:pPr>
              <w:jc w:val="center"/>
            </w:pPr>
          </w:p>
        </w:tc>
        <w:tc>
          <w:tcPr>
            <w:tcW w:w="2850" w:type="dxa"/>
            <w:vAlign w:val="center"/>
          </w:tcPr>
          <w:p w14:paraId="6C9A3124">
            <w:pPr>
              <w:jc w:val="center"/>
            </w:pPr>
            <w:r>
              <w:t>150</w:t>
            </w:r>
          </w:p>
        </w:tc>
      </w:tr>
      <w:bookmarkEnd w:id="29"/>
    </w:tbl>
    <w:p w14:paraId="5166EB98">
      <w:pPr>
        <w:pStyle w:val="2"/>
        <w:ind w:left="432" w:hanging="432"/>
        <w:rPr>
          <w:rFonts w:ascii="微软雅黑" w:hAnsi="微软雅黑"/>
        </w:rPr>
      </w:pPr>
      <w:bookmarkStart w:id="30" w:name="_Toc264043625"/>
      <w:bookmarkStart w:id="31" w:name="_Toc290209312"/>
      <w:bookmarkStart w:id="32" w:name="_Toc312399791"/>
      <w:bookmarkStart w:id="33" w:name="_Toc290209336"/>
      <w:bookmarkStart w:id="34" w:name="_Toc290149054"/>
      <w:bookmarkStart w:id="35" w:name="_Toc264569232"/>
      <w:bookmarkStart w:id="36" w:name="_Toc275165382"/>
      <w:bookmarkStart w:id="37" w:name="_Toc23554"/>
      <w:r>
        <w:rPr>
          <w:rFonts w:hint="eastAsia" w:ascii="微软雅黑" w:hAnsi="微软雅黑"/>
        </w:rPr>
        <w:t>采光分析</w:t>
      </w:r>
      <w:r>
        <w:rPr>
          <w:rFonts w:ascii="微软雅黑" w:hAnsi="微软雅黑"/>
        </w:rPr>
        <w:t>概述</w:t>
      </w:r>
      <w:bookmarkEnd w:id="30"/>
      <w:bookmarkEnd w:id="31"/>
      <w:bookmarkEnd w:id="32"/>
      <w:bookmarkEnd w:id="33"/>
      <w:bookmarkEnd w:id="34"/>
      <w:bookmarkEnd w:id="35"/>
      <w:bookmarkEnd w:id="36"/>
      <w:bookmarkEnd w:id="37"/>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38" w:name="_Toc20814"/>
      <w:r>
        <w:rPr>
          <w:rFonts w:hint="eastAsia"/>
        </w:rPr>
        <w:t>基本原理</w:t>
      </w:r>
      <w:bookmarkEnd w:id="38"/>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39" w:name="_Toc290209341"/>
      <w:bookmarkStart w:id="40" w:name="_Toc264043630"/>
      <w:bookmarkStart w:id="41" w:name="_Toc275165387"/>
      <w:bookmarkStart w:id="42" w:name="_Toc290209317"/>
      <w:bookmarkStart w:id="43" w:name="_Toc264569237"/>
      <w:bookmarkStart w:id="44" w:name="_Toc312399796"/>
      <w:bookmarkStart w:id="45" w:name="_Toc290149059"/>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6" w:name="_Toc1089"/>
      <w:r>
        <w:t>分析软件</w:t>
      </w:r>
      <w:bookmarkEnd w:id="39"/>
      <w:bookmarkEnd w:id="40"/>
      <w:bookmarkEnd w:id="41"/>
      <w:bookmarkEnd w:id="42"/>
      <w:bookmarkEnd w:id="43"/>
      <w:bookmarkEnd w:id="44"/>
      <w:bookmarkEnd w:id="45"/>
      <w:bookmarkEnd w:id="46"/>
    </w:p>
    <w:p w14:paraId="71A7B5B9">
      <w:pPr>
        <w:pStyle w:val="3"/>
        <w:ind w:firstLine="420" w:firstLineChars="200"/>
      </w:pPr>
      <w:bookmarkStart w:id="47"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48" w:name="_Toc30870"/>
      <w:r>
        <w:rPr>
          <w:rFonts w:hint="eastAsia"/>
        </w:rPr>
        <w:t>计算方法</w:t>
      </w:r>
      <w:bookmarkEnd w:id="47"/>
      <w:bookmarkEnd w:id="48"/>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49" w:name="_Toc25337"/>
      <w:r>
        <w:rPr>
          <w:rFonts w:hint="eastAsia"/>
        </w:rPr>
        <w:t>采光计算</w:t>
      </w:r>
      <w:r>
        <w:t>参数</w:t>
      </w:r>
      <w:r>
        <w:rPr>
          <w:rFonts w:hint="eastAsia"/>
        </w:rPr>
        <w:t>取值</w:t>
      </w:r>
      <w:bookmarkEnd w:id="49"/>
    </w:p>
    <w:p w14:paraId="1DF8A62E">
      <w:pPr>
        <w:pStyle w:val="4"/>
      </w:pPr>
      <w:bookmarkStart w:id="50" w:name="_Toc264569236"/>
      <w:bookmarkStart w:id="51" w:name="_Toc290209340"/>
      <w:bookmarkStart w:id="52" w:name="_Toc264043629"/>
      <w:bookmarkStart w:id="53" w:name="_Toc312399795"/>
      <w:bookmarkStart w:id="54" w:name="_Toc290149058"/>
      <w:bookmarkStart w:id="55" w:name="_Toc290209316"/>
      <w:bookmarkStart w:id="56" w:name="_Toc275165386"/>
      <w:bookmarkStart w:id="57" w:name="_Toc16600"/>
      <w:r>
        <w:t>模拟</w:t>
      </w:r>
      <w:bookmarkEnd w:id="50"/>
      <w:bookmarkEnd w:id="51"/>
      <w:bookmarkEnd w:id="52"/>
      <w:bookmarkEnd w:id="53"/>
      <w:bookmarkEnd w:id="54"/>
      <w:bookmarkEnd w:id="55"/>
      <w:bookmarkEnd w:id="56"/>
      <w:r>
        <w:rPr>
          <w:rFonts w:hint="eastAsia"/>
        </w:rPr>
        <w:t>分析条件说明</w:t>
      </w:r>
      <w:bookmarkEnd w:id="57"/>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8" w:name="光线反射次数"/>
      <w:r>
        <w:t>3</w:t>
      </w:r>
      <w:bookmarkEnd w:id="58"/>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59" w:name="分析面高"/>
      <w:r>
        <w:rPr>
          <w:rFonts w:hint="eastAsia" w:ascii="微软雅黑" w:hAnsi="微软雅黑"/>
          <w:sz w:val="21"/>
          <w:szCs w:val="21"/>
        </w:rPr>
        <w:t>0.75</w:t>
      </w:r>
      <w:bookmarkEnd w:id="59"/>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0" w:name="网格划分小房间面积"/>
            <w:r>
              <w:rPr>
                <w:rFonts w:hint="eastAsia"/>
                <w:szCs w:val="18"/>
              </w:rPr>
              <w:t>10</w:t>
            </w:r>
            <w:bookmarkEnd w:id="60"/>
          </w:p>
        </w:tc>
        <w:tc>
          <w:tcPr>
            <w:tcW w:w="3272" w:type="dxa"/>
            <w:shd w:val="clear" w:color="auto" w:fill="auto"/>
            <w:vAlign w:val="center"/>
          </w:tcPr>
          <w:p w14:paraId="499DE921">
            <w:pPr>
              <w:rPr>
                <w:szCs w:val="18"/>
              </w:rPr>
            </w:pPr>
            <w:bookmarkStart w:id="61" w:name="小房间网格大小"/>
            <w:r>
              <w:rPr>
                <w:rFonts w:hint="eastAsia"/>
                <w:szCs w:val="18"/>
              </w:rPr>
              <w:t>0.25</w:t>
            </w:r>
            <w:bookmarkEnd w:id="61"/>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2" w:name="网格划分房间面积"/>
            <w:r>
              <w:rPr>
                <w:rFonts w:hint="eastAsia"/>
                <w:szCs w:val="18"/>
              </w:rPr>
              <w:t>10~100</w:t>
            </w:r>
            <w:bookmarkEnd w:id="62"/>
          </w:p>
        </w:tc>
        <w:tc>
          <w:tcPr>
            <w:tcW w:w="3272" w:type="dxa"/>
            <w:shd w:val="clear" w:color="auto" w:fill="auto"/>
            <w:vAlign w:val="center"/>
          </w:tcPr>
          <w:p w14:paraId="5FBCAE3E">
            <w:pPr>
              <w:rPr>
                <w:szCs w:val="18"/>
              </w:rPr>
            </w:pPr>
            <w:bookmarkStart w:id="63" w:name="网格大小"/>
            <w:r>
              <w:rPr>
                <w:rFonts w:hint="eastAsia"/>
                <w:szCs w:val="18"/>
              </w:rPr>
              <w:t>0.50</w:t>
            </w:r>
            <w:bookmarkEnd w:id="63"/>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4" w:name="网格划分大房间面积"/>
            <w:r>
              <w:rPr>
                <w:rFonts w:hint="eastAsia"/>
                <w:szCs w:val="18"/>
              </w:rPr>
              <w:t>100</w:t>
            </w:r>
            <w:bookmarkEnd w:id="64"/>
          </w:p>
        </w:tc>
        <w:tc>
          <w:tcPr>
            <w:tcW w:w="3272" w:type="dxa"/>
            <w:shd w:val="clear" w:color="auto" w:fill="auto"/>
            <w:vAlign w:val="center"/>
          </w:tcPr>
          <w:p w14:paraId="219A9E63">
            <w:pPr>
              <w:rPr>
                <w:szCs w:val="18"/>
              </w:rPr>
            </w:pPr>
            <w:bookmarkStart w:id="65" w:name="大房间网格大小"/>
            <w:r>
              <w:rPr>
                <w:rFonts w:hint="eastAsia"/>
                <w:szCs w:val="18"/>
              </w:rPr>
              <w:t>1.00</w:t>
            </w:r>
            <w:bookmarkEnd w:id="65"/>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6" w:name="_Toc13973"/>
      <w:r>
        <w:rPr>
          <w:rFonts w:hint="eastAsia"/>
        </w:rPr>
        <w:t>建筑饰面材料参数</w:t>
      </w:r>
      <w:bookmarkEnd w:id="66"/>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7" w:name="顶棚反射比"/>
            <w:r>
              <w:rPr>
                <w:rFonts w:hint="eastAsia"/>
                <w:szCs w:val="18"/>
              </w:rPr>
              <w:t>0.75</w:t>
            </w:r>
            <w:bookmarkEnd w:id="67"/>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68" w:name="地面反射比"/>
            <w:r>
              <w:rPr>
                <w:rFonts w:hint="eastAsia"/>
                <w:szCs w:val="18"/>
              </w:rPr>
              <w:t>0.30</w:t>
            </w:r>
            <w:bookmarkEnd w:id="68"/>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69" w:name="墙面反射比"/>
            <w:r>
              <w:rPr>
                <w:rFonts w:hint="eastAsia"/>
                <w:szCs w:val="18"/>
              </w:rPr>
              <w:t>0.60</w:t>
            </w:r>
            <w:bookmarkEnd w:id="69"/>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0" w:name="外表面反射比"/>
            <w:r>
              <w:rPr>
                <w:rFonts w:hint="eastAsia"/>
                <w:szCs w:val="18"/>
              </w:rPr>
              <w:t>0.30</w:t>
            </w:r>
            <w:bookmarkEnd w:id="70"/>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1" w:name="_Toc13308"/>
      <w:r>
        <w:rPr>
          <w:rFonts w:hint="eastAsia"/>
        </w:rPr>
        <w:t>门窗类型参数</w:t>
      </w:r>
      <w:bookmarkEnd w:id="71"/>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2" w:name="_Toc14816"/>
      <w:bookmarkStart w:id="73" w:name="窗"/>
      <w:r>
        <w:rPr>
          <w:rFonts w:hint="eastAsia"/>
        </w:rPr>
        <w:t>普通窗</w:t>
      </w:r>
      <w:bookmarkEnd w:id="72"/>
    </w:p>
    <w:bookmarkEnd w:id="73"/>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6774C1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898A371">
            <w:pPr>
              <w:jc w:val="center"/>
              <w:rPr>
                <w:sz w:val="18"/>
                <w:szCs w:val="18"/>
              </w:rPr>
            </w:pPr>
            <w:r>
              <w:rPr>
                <w:sz w:val="18"/>
                <w:szCs w:val="18"/>
              </w:rPr>
              <w:t>门窗编号</w:t>
            </w:r>
          </w:p>
        </w:tc>
        <w:tc>
          <w:tcPr>
            <w:shd w:val="clear" w:color="auto" w:fill="E6E6E6"/>
            <w:vAlign w:val="center"/>
          </w:tcPr>
          <w:p w14:paraId="027B1D2E">
            <w:pPr>
              <w:jc w:val="center"/>
              <w:rPr>
                <w:sz w:val="18"/>
                <w:szCs w:val="18"/>
              </w:rPr>
            </w:pPr>
            <w:r>
              <w:rPr>
                <w:sz w:val="18"/>
                <w:szCs w:val="18"/>
              </w:rPr>
              <w:t>宽度(mm)</w:t>
            </w:r>
          </w:p>
        </w:tc>
        <w:tc>
          <w:tcPr>
            <w:shd w:val="clear" w:color="auto" w:fill="E6E6E6"/>
            <w:vAlign w:val="center"/>
          </w:tcPr>
          <w:p w14:paraId="146D0ED9">
            <w:pPr>
              <w:jc w:val="center"/>
              <w:rPr>
                <w:sz w:val="18"/>
                <w:szCs w:val="18"/>
              </w:rPr>
            </w:pPr>
            <w:r>
              <w:rPr>
                <w:sz w:val="18"/>
                <w:szCs w:val="18"/>
              </w:rPr>
              <w:t>高度(mm)</w:t>
            </w:r>
          </w:p>
        </w:tc>
        <w:tc>
          <w:tcPr>
            <w:shd w:val="clear" w:color="auto" w:fill="E6E6E6"/>
            <w:vAlign w:val="center"/>
          </w:tcPr>
          <w:p w14:paraId="3C3FCEEF">
            <w:pPr>
              <w:jc w:val="center"/>
              <w:rPr>
                <w:sz w:val="18"/>
                <w:szCs w:val="18"/>
              </w:rPr>
            </w:pPr>
            <w:r>
              <w:rPr>
                <w:sz w:val="18"/>
                <w:szCs w:val="18"/>
              </w:rPr>
              <w:t>窗框类型</w:t>
            </w:r>
          </w:p>
        </w:tc>
        <w:tc>
          <w:tcPr>
            <w:shd w:val="clear" w:color="auto" w:fill="E6E6E6"/>
            <w:vAlign w:val="center"/>
          </w:tcPr>
          <w:p w14:paraId="572A75A5">
            <w:pPr>
              <w:jc w:val="center"/>
              <w:rPr>
                <w:sz w:val="18"/>
                <w:szCs w:val="18"/>
              </w:rPr>
            </w:pPr>
            <w:r>
              <w:rPr>
                <w:sz w:val="18"/>
                <w:szCs w:val="18"/>
              </w:rPr>
              <w:t>玻璃类型</w:t>
            </w:r>
          </w:p>
        </w:tc>
        <w:tc>
          <w:tcPr>
            <w:shd w:val="clear" w:color="auto" w:fill="E6E6E6"/>
            <w:vAlign w:val="center"/>
          </w:tcPr>
          <w:p w14:paraId="101BFF38">
            <w:pPr>
              <w:jc w:val="center"/>
              <w:rPr>
                <w:sz w:val="18"/>
                <w:szCs w:val="18"/>
              </w:rPr>
            </w:pPr>
            <w:r>
              <w:rPr>
                <w:sz w:val="18"/>
                <w:szCs w:val="18"/>
              </w:rPr>
              <w:t>可见光透射比</w:t>
            </w:r>
          </w:p>
        </w:tc>
        <w:tc>
          <w:tcPr>
            <w:shd w:val="clear" w:color="auto" w:fill="E6E6E6"/>
            <w:vAlign w:val="center"/>
          </w:tcPr>
          <w:p w14:paraId="12636371">
            <w:pPr>
              <w:jc w:val="center"/>
              <w:rPr>
                <w:sz w:val="18"/>
                <w:szCs w:val="18"/>
              </w:rPr>
            </w:pPr>
            <w:r>
              <w:rPr>
                <w:sz w:val="18"/>
                <w:szCs w:val="18"/>
              </w:rPr>
              <w:t>玻璃反射比</w:t>
            </w:r>
          </w:p>
        </w:tc>
      </w:tr>
      <w:tr w14:paraId="7A58B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BF6B480">
            <w:pPr>
              <w:jc w:val="center"/>
              <w:rPr>
                <w:sz w:val="18"/>
                <w:szCs w:val="18"/>
              </w:rPr>
            </w:pPr>
            <w:r>
              <w:rPr>
                <w:sz w:val="18"/>
                <w:szCs w:val="18"/>
              </w:rPr>
              <w:t>C1515</w:t>
            </w:r>
          </w:p>
        </w:tc>
        <w:tc>
          <w:tcPr>
            <w:vAlign w:val="center"/>
          </w:tcPr>
          <w:p w14:paraId="62A6B9F2">
            <w:pPr>
              <w:jc w:val="center"/>
              <w:rPr>
                <w:sz w:val="18"/>
                <w:szCs w:val="18"/>
              </w:rPr>
            </w:pPr>
            <w:r>
              <w:rPr>
                <w:sz w:val="18"/>
                <w:szCs w:val="18"/>
              </w:rPr>
              <w:t>1500</w:t>
            </w:r>
          </w:p>
        </w:tc>
        <w:tc>
          <w:tcPr>
            <w:vAlign w:val="center"/>
          </w:tcPr>
          <w:p w14:paraId="69E435BF">
            <w:pPr>
              <w:jc w:val="center"/>
              <w:rPr>
                <w:sz w:val="18"/>
                <w:szCs w:val="18"/>
              </w:rPr>
            </w:pPr>
            <w:r>
              <w:rPr>
                <w:sz w:val="18"/>
                <w:szCs w:val="18"/>
              </w:rPr>
              <w:t>1500</w:t>
            </w:r>
          </w:p>
        </w:tc>
        <w:tc>
          <w:tcPr>
            <w:vAlign w:val="center"/>
          </w:tcPr>
          <w:p w14:paraId="5EA39DFC">
            <w:pPr>
              <w:jc w:val="center"/>
              <w:rPr>
                <w:sz w:val="18"/>
                <w:szCs w:val="18"/>
              </w:rPr>
            </w:pPr>
            <w:r>
              <w:rPr>
                <w:sz w:val="18"/>
                <w:szCs w:val="18"/>
              </w:rPr>
              <w:t>单层铝窗</w:t>
            </w:r>
          </w:p>
        </w:tc>
        <w:tc>
          <w:tcPr>
            <w:vAlign w:val="center"/>
          </w:tcPr>
          <w:p w14:paraId="496BFFEB">
            <w:pPr>
              <w:jc w:val="center"/>
              <w:rPr>
                <w:sz w:val="18"/>
                <w:szCs w:val="18"/>
              </w:rPr>
            </w:pPr>
            <w:r>
              <w:rPr>
                <w:sz w:val="18"/>
                <w:szCs w:val="18"/>
              </w:rPr>
              <w:t>普通玻璃</w:t>
            </w:r>
          </w:p>
        </w:tc>
        <w:tc>
          <w:tcPr>
            <w:vAlign w:val="center"/>
          </w:tcPr>
          <w:p w14:paraId="6162EF1A">
            <w:pPr>
              <w:jc w:val="center"/>
              <w:rPr>
                <w:sz w:val="18"/>
                <w:szCs w:val="18"/>
              </w:rPr>
            </w:pPr>
            <w:r>
              <w:rPr>
                <w:sz w:val="18"/>
                <w:szCs w:val="18"/>
              </w:rPr>
              <w:t>0.89</w:t>
            </w:r>
          </w:p>
        </w:tc>
        <w:tc>
          <w:tcPr>
            <w:vAlign w:val="center"/>
          </w:tcPr>
          <w:p w14:paraId="501AB7E0">
            <w:pPr>
              <w:jc w:val="center"/>
              <w:rPr>
                <w:sz w:val="18"/>
                <w:szCs w:val="18"/>
              </w:rPr>
            </w:pPr>
            <w:r>
              <w:rPr>
                <w:sz w:val="18"/>
                <w:szCs w:val="18"/>
              </w:rPr>
              <w:t>0.08</w:t>
            </w:r>
          </w:p>
        </w:tc>
      </w:tr>
      <w:tr w14:paraId="76CB8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177F4B3">
            <w:pPr>
              <w:jc w:val="center"/>
              <w:rPr>
                <w:sz w:val="18"/>
                <w:szCs w:val="18"/>
              </w:rPr>
            </w:pPr>
            <w:r>
              <w:rPr>
                <w:sz w:val="18"/>
                <w:szCs w:val="18"/>
              </w:rPr>
              <w:t>C2715</w:t>
            </w:r>
          </w:p>
        </w:tc>
        <w:tc>
          <w:tcPr>
            <w:vAlign w:val="center"/>
          </w:tcPr>
          <w:p w14:paraId="5470B34D">
            <w:pPr>
              <w:jc w:val="center"/>
              <w:rPr>
                <w:sz w:val="18"/>
                <w:szCs w:val="18"/>
              </w:rPr>
            </w:pPr>
            <w:r>
              <w:rPr>
                <w:sz w:val="18"/>
                <w:szCs w:val="18"/>
              </w:rPr>
              <w:t>2700</w:t>
            </w:r>
          </w:p>
        </w:tc>
        <w:tc>
          <w:tcPr>
            <w:vAlign w:val="center"/>
          </w:tcPr>
          <w:p w14:paraId="38D12781">
            <w:pPr>
              <w:jc w:val="center"/>
              <w:rPr>
                <w:sz w:val="18"/>
                <w:szCs w:val="18"/>
              </w:rPr>
            </w:pPr>
            <w:r>
              <w:rPr>
                <w:sz w:val="18"/>
                <w:szCs w:val="18"/>
              </w:rPr>
              <w:t>1500</w:t>
            </w:r>
          </w:p>
        </w:tc>
        <w:tc>
          <w:tcPr>
            <w:vAlign w:val="center"/>
          </w:tcPr>
          <w:p w14:paraId="6922E69F">
            <w:pPr>
              <w:jc w:val="center"/>
              <w:rPr>
                <w:sz w:val="18"/>
                <w:szCs w:val="18"/>
              </w:rPr>
            </w:pPr>
            <w:r>
              <w:rPr>
                <w:sz w:val="18"/>
                <w:szCs w:val="18"/>
              </w:rPr>
              <w:t>单层铝窗</w:t>
            </w:r>
          </w:p>
        </w:tc>
        <w:tc>
          <w:tcPr>
            <w:vAlign w:val="center"/>
          </w:tcPr>
          <w:p w14:paraId="7F65A051">
            <w:pPr>
              <w:jc w:val="center"/>
              <w:rPr>
                <w:sz w:val="18"/>
                <w:szCs w:val="18"/>
              </w:rPr>
            </w:pPr>
            <w:r>
              <w:rPr>
                <w:sz w:val="18"/>
                <w:szCs w:val="18"/>
              </w:rPr>
              <w:t>普通玻璃</w:t>
            </w:r>
          </w:p>
        </w:tc>
        <w:tc>
          <w:tcPr>
            <w:vAlign w:val="center"/>
          </w:tcPr>
          <w:p w14:paraId="6152711C">
            <w:pPr>
              <w:jc w:val="center"/>
              <w:rPr>
                <w:sz w:val="18"/>
                <w:szCs w:val="18"/>
              </w:rPr>
            </w:pPr>
            <w:r>
              <w:rPr>
                <w:sz w:val="18"/>
                <w:szCs w:val="18"/>
              </w:rPr>
              <w:t>0.89</w:t>
            </w:r>
          </w:p>
        </w:tc>
        <w:tc>
          <w:tcPr>
            <w:vAlign w:val="center"/>
          </w:tcPr>
          <w:p w14:paraId="4296B968">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476E2C0C">
      <w:pPr>
        <w:pStyle w:val="3"/>
        <w:rPr>
          <w:rFonts w:ascii="宋体" w:hAnsi="宋体"/>
          <w:sz w:val="18"/>
          <w:szCs w:val="18"/>
          <w:lang w:val="en-US"/>
        </w:rPr>
      </w:pPr>
    </w:p>
    <w:p w14:paraId="616D1439">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4" w:name="窗污染折减系数"/>
      <w:bookmarkEnd w:id="74"/>
    </w:p>
    <w:p w14:paraId="2330D088">
      <w:pPr>
        <w:pStyle w:val="2"/>
        <w:ind w:left="432" w:hanging="432"/>
      </w:pPr>
      <w:bookmarkStart w:id="75" w:name="_Toc8222"/>
      <w:r>
        <w:rPr>
          <w:rFonts w:hint="eastAsia"/>
        </w:rPr>
        <w:t>房间模拟</w:t>
      </w:r>
      <w:r>
        <w:t>结果</w:t>
      </w:r>
      <w:bookmarkEnd w:id="75"/>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6" w:name="房间采光表"/>
      <w:bookmarkEnd w:id="76"/>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14BC15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2E313DD">
            <w:pPr>
              <w:jc w:val="center"/>
              <w:rPr>
                <w:sz w:val="18"/>
                <w:szCs w:val="18"/>
              </w:rPr>
            </w:pPr>
            <w:r>
              <w:rPr>
                <w:sz w:val="18"/>
                <w:szCs w:val="18"/>
              </w:rPr>
              <w:t>楼层</w:t>
            </w:r>
          </w:p>
        </w:tc>
        <w:tc>
          <w:tcPr>
            <w:shd w:val="clear" w:color="auto" w:fill="E6E6E6"/>
            <w:vAlign w:val="center"/>
          </w:tcPr>
          <w:p w14:paraId="6CC67657">
            <w:pPr>
              <w:jc w:val="center"/>
              <w:rPr>
                <w:sz w:val="18"/>
                <w:szCs w:val="18"/>
              </w:rPr>
            </w:pPr>
            <w:r>
              <w:rPr>
                <w:sz w:val="18"/>
                <w:szCs w:val="18"/>
              </w:rPr>
              <w:t>房间</w:t>
            </w:r>
          </w:p>
        </w:tc>
        <w:tc>
          <w:tcPr>
            <w:shd w:val="clear" w:color="auto" w:fill="E6E6E6"/>
            <w:vAlign w:val="center"/>
          </w:tcPr>
          <w:p w14:paraId="2E5C36EB">
            <w:pPr>
              <w:jc w:val="center"/>
              <w:rPr>
                <w:sz w:val="18"/>
                <w:szCs w:val="18"/>
              </w:rPr>
            </w:pPr>
            <w:r>
              <w:rPr>
                <w:sz w:val="18"/>
                <w:szCs w:val="18"/>
              </w:rPr>
              <w:t>对标功能</w:t>
            </w:r>
          </w:p>
        </w:tc>
        <w:tc>
          <w:tcPr>
            <w:shd w:val="clear" w:color="auto" w:fill="E6E6E6"/>
            <w:vAlign w:val="center"/>
          </w:tcPr>
          <w:p w14:paraId="0FB33365">
            <w:pPr>
              <w:jc w:val="center"/>
              <w:rPr>
                <w:sz w:val="18"/>
                <w:szCs w:val="18"/>
              </w:rPr>
            </w:pPr>
            <w:r>
              <w:rPr>
                <w:sz w:val="18"/>
                <w:szCs w:val="18"/>
              </w:rPr>
              <w:t>采光等级</w:t>
            </w:r>
          </w:p>
        </w:tc>
        <w:tc>
          <w:tcPr>
            <w:shd w:val="clear" w:color="auto" w:fill="E6E6E6"/>
            <w:vAlign w:val="center"/>
          </w:tcPr>
          <w:p w14:paraId="170B715F">
            <w:pPr>
              <w:jc w:val="center"/>
              <w:rPr>
                <w:sz w:val="18"/>
                <w:szCs w:val="18"/>
              </w:rPr>
            </w:pPr>
            <w:r>
              <w:rPr>
                <w:sz w:val="18"/>
                <w:szCs w:val="18"/>
              </w:rPr>
              <w:t>采光类型</w:t>
            </w:r>
          </w:p>
        </w:tc>
        <w:tc>
          <w:tcPr>
            <w:shd w:val="clear" w:color="auto" w:fill="E6E6E6"/>
            <w:vAlign w:val="center"/>
          </w:tcPr>
          <w:p w14:paraId="0EDE8121">
            <w:pPr>
              <w:jc w:val="center"/>
              <w:rPr>
                <w:sz w:val="18"/>
                <w:szCs w:val="18"/>
              </w:rPr>
            </w:pPr>
            <w:r>
              <w:rPr>
                <w:sz w:val="18"/>
                <w:szCs w:val="18"/>
              </w:rPr>
              <w:t>房间面积</w:t>
            </w:r>
          </w:p>
        </w:tc>
        <w:tc>
          <w:tcPr>
            <w:shd w:val="clear" w:color="auto" w:fill="E6E6E6"/>
            <w:vAlign w:val="center"/>
          </w:tcPr>
          <w:p w14:paraId="72BE9694">
            <w:pPr>
              <w:jc w:val="center"/>
              <w:rPr>
                <w:sz w:val="18"/>
                <w:szCs w:val="18"/>
              </w:rPr>
            </w:pPr>
            <w:r>
              <w:rPr>
                <w:sz w:val="18"/>
                <w:szCs w:val="18"/>
              </w:rPr>
              <w:t>采光系数C(%)</w:t>
            </w:r>
          </w:p>
        </w:tc>
        <w:tc>
          <w:tcPr>
            <w:shd w:val="clear" w:color="auto" w:fill="E6E6E6"/>
            <w:vAlign w:val="center"/>
          </w:tcPr>
          <w:p w14:paraId="5B6BB1A4">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5A567750">
            <w:pPr>
              <w:jc w:val="center"/>
              <w:rPr>
                <w:sz w:val="18"/>
                <w:szCs w:val="18"/>
              </w:rPr>
            </w:pPr>
            <w:r>
              <w:rPr>
                <w:sz w:val="18"/>
                <w:szCs w:val="18"/>
              </w:rPr>
              <w:t>结论</w:t>
            </w:r>
          </w:p>
        </w:tc>
      </w:tr>
      <w:tr w14:paraId="37EB28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CF125C7">
            <w:pPr>
              <w:rPr>
                <w:sz w:val="18"/>
                <w:szCs w:val="18"/>
              </w:rPr>
            </w:pPr>
            <w:r>
              <w:rPr>
                <w:sz w:val="18"/>
                <w:szCs w:val="18"/>
              </w:rPr>
              <w:t>1</w:t>
            </w:r>
          </w:p>
        </w:tc>
        <w:tc>
          <w:tcPr>
            <w:vAlign w:val="center"/>
          </w:tcPr>
          <w:p w14:paraId="6127170B">
            <w:pPr>
              <w:rPr>
                <w:sz w:val="18"/>
                <w:szCs w:val="18"/>
              </w:rPr>
            </w:pPr>
            <w:r>
              <w:rPr>
                <w:sz w:val="18"/>
                <w:szCs w:val="18"/>
              </w:rPr>
              <w:t>1001[起居室]</w:t>
            </w:r>
          </w:p>
        </w:tc>
        <w:tc>
          <w:tcPr>
            <w:vAlign w:val="center"/>
          </w:tcPr>
          <w:p w14:paraId="0E523396">
            <w:pPr>
              <w:rPr>
                <w:sz w:val="18"/>
                <w:szCs w:val="18"/>
              </w:rPr>
            </w:pPr>
            <w:r>
              <w:rPr>
                <w:sz w:val="18"/>
                <w:szCs w:val="18"/>
              </w:rPr>
              <w:t>起居室</w:t>
            </w:r>
          </w:p>
        </w:tc>
        <w:tc>
          <w:tcPr>
            <w:vAlign w:val="center"/>
          </w:tcPr>
          <w:p w14:paraId="23D026BB">
            <w:pPr>
              <w:rPr>
                <w:sz w:val="18"/>
                <w:szCs w:val="18"/>
              </w:rPr>
            </w:pPr>
            <w:r>
              <w:rPr>
                <w:sz w:val="18"/>
                <w:szCs w:val="18"/>
              </w:rPr>
              <w:t>IV</w:t>
            </w:r>
          </w:p>
        </w:tc>
        <w:tc>
          <w:tcPr>
            <w:vAlign w:val="center"/>
          </w:tcPr>
          <w:p w14:paraId="61F8C74C">
            <w:pPr>
              <w:rPr>
                <w:sz w:val="18"/>
                <w:szCs w:val="18"/>
              </w:rPr>
            </w:pPr>
            <w:r>
              <w:rPr>
                <w:sz w:val="18"/>
                <w:szCs w:val="18"/>
              </w:rPr>
              <w:t>侧面</w:t>
            </w:r>
          </w:p>
        </w:tc>
        <w:tc>
          <w:tcPr>
            <w:vAlign w:val="center"/>
          </w:tcPr>
          <w:p w14:paraId="097AE881">
            <w:pPr>
              <w:rPr>
                <w:sz w:val="18"/>
                <w:szCs w:val="18"/>
              </w:rPr>
            </w:pPr>
            <w:r>
              <w:rPr>
                <w:sz w:val="18"/>
                <w:szCs w:val="18"/>
              </w:rPr>
              <w:t>26.93</w:t>
            </w:r>
          </w:p>
        </w:tc>
        <w:tc>
          <w:tcPr>
            <w:vAlign w:val="center"/>
          </w:tcPr>
          <w:p w14:paraId="019E043F">
            <w:pPr>
              <w:rPr>
                <w:sz w:val="18"/>
                <w:szCs w:val="18"/>
              </w:rPr>
            </w:pPr>
            <w:r>
              <w:rPr>
                <w:sz w:val="18"/>
                <w:szCs w:val="18"/>
              </w:rPr>
              <w:t>1.57</w:t>
            </w:r>
          </w:p>
        </w:tc>
        <w:tc>
          <w:tcPr>
            <w:vAlign w:val="center"/>
          </w:tcPr>
          <w:p w14:paraId="06976396">
            <w:pPr>
              <w:rPr>
                <w:sz w:val="18"/>
                <w:szCs w:val="18"/>
              </w:rPr>
            </w:pPr>
            <w:r>
              <w:rPr>
                <w:sz w:val="18"/>
                <w:szCs w:val="18"/>
              </w:rPr>
              <w:t>2.20</w:t>
            </w:r>
          </w:p>
        </w:tc>
        <w:tc>
          <w:tcPr>
            <w:vAlign w:val="center"/>
          </w:tcPr>
          <w:p w14:paraId="78A0C819">
            <w:pPr>
              <w:rPr>
                <w:sz w:val="18"/>
                <w:szCs w:val="18"/>
              </w:rPr>
            </w:pPr>
            <w:r>
              <w:rPr>
                <w:b/>
                <w:color w:val="FF0000"/>
                <w:sz w:val="18"/>
                <w:szCs w:val="18"/>
              </w:rPr>
              <w:t>不满足</w:t>
            </w:r>
          </w:p>
        </w:tc>
      </w:tr>
      <w:tr w14:paraId="52CCB0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03981A99">
            <w:pPr>
              <w:rPr>
                <w:sz w:val="18"/>
                <w:szCs w:val="18"/>
              </w:rPr>
            </w:pPr>
            <w:r>
              <w:rPr>
                <w:sz w:val="18"/>
                <w:szCs w:val="18"/>
              </w:rPr>
              <w:t>2</w:t>
            </w:r>
          </w:p>
        </w:tc>
        <w:tc>
          <w:tcPr>
            <w:vAlign w:val="center"/>
          </w:tcPr>
          <w:p w14:paraId="1355F45D">
            <w:pPr>
              <w:rPr>
                <w:sz w:val="18"/>
                <w:szCs w:val="18"/>
              </w:rPr>
            </w:pPr>
            <w:r>
              <w:rPr>
                <w:sz w:val="18"/>
                <w:szCs w:val="18"/>
              </w:rPr>
              <w:t>2001[起居室]</w:t>
            </w:r>
          </w:p>
        </w:tc>
        <w:tc>
          <w:tcPr>
            <w:vAlign w:val="center"/>
          </w:tcPr>
          <w:p w14:paraId="55B4FECD">
            <w:pPr>
              <w:rPr>
                <w:sz w:val="18"/>
                <w:szCs w:val="18"/>
              </w:rPr>
            </w:pPr>
            <w:r>
              <w:rPr>
                <w:sz w:val="18"/>
                <w:szCs w:val="18"/>
              </w:rPr>
              <w:t>起居室</w:t>
            </w:r>
          </w:p>
        </w:tc>
        <w:tc>
          <w:tcPr>
            <w:vAlign w:val="center"/>
          </w:tcPr>
          <w:p w14:paraId="3A88BCD1">
            <w:pPr>
              <w:rPr>
                <w:sz w:val="18"/>
                <w:szCs w:val="18"/>
              </w:rPr>
            </w:pPr>
            <w:r>
              <w:rPr>
                <w:sz w:val="18"/>
                <w:szCs w:val="18"/>
              </w:rPr>
              <w:t>IV</w:t>
            </w:r>
          </w:p>
        </w:tc>
        <w:tc>
          <w:tcPr>
            <w:vAlign w:val="center"/>
          </w:tcPr>
          <w:p w14:paraId="01A8B16E">
            <w:pPr>
              <w:rPr>
                <w:sz w:val="18"/>
                <w:szCs w:val="18"/>
              </w:rPr>
            </w:pPr>
            <w:r>
              <w:rPr>
                <w:sz w:val="18"/>
                <w:szCs w:val="18"/>
              </w:rPr>
              <w:t>侧面</w:t>
            </w:r>
          </w:p>
        </w:tc>
        <w:tc>
          <w:tcPr>
            <w:vAlign w:val="center"/>
          </w:tcPr>
          <w:p w14:paraId="34B0C4B6">
            <w:pPr>
              <w:rPr>
                <w:sz w:val="18"/>
                <w:szCs w:val="18"/>
              </w:rPr>
            </w:pPr>
            <w:r>
              <w:rPr>
                <w:sz w:val="18"/>
                <w:szCs w:val="18"/>
              </w:rPr>
              <w:t>31.73</w:t>
            </w:r>
          </w:p>
        </w:tc>
        <w:tc>
          <w:tcPr>
            <w:vAlign w:val="center"/>
          </w:tcPr>
          <w:p w14:paraId="50E40383">
            <w:pPr>
              <w:rPr>
                <w:sz w:val="18"/>
                <w:szCs w:val="18"/>
              </w:rPr>
            </w:pPr>
            <w:r>
              <w:rPr>
                <w:sz w:val="18"/>
                <w:szCs w:val="18"/>
              </w:rPr>
              <w:t>1.94</w:t>
            </w:r>
          </w:p>
        </w:tc>
        <w:tc>
          <w:tcPr>
            <w:vAlign w:val="center"/>
          </w:tcPr>
          <w:p w14:paraId="19A9C975">
            <w:pPr>
              <w:rPr>
                <w:sz w:val="18"/>
                <w:szCs w:val="18"/>
              </w:rPr>
            </w:pPr>
            <w:r>
              <w:rPr>
                <w:sz w:val="18"/>
                <w:szCs w:val="18"/>
              </w:rPr>
              <w:t>2.20</w:t>
            </w:r>
          </w:p>
        </w:tc>
        <w:tc>
          <w:tcPr>
            <w:vAlign w:val="center"/>
          </w:tcPr>
          <w:p w14:paraId="6E06C3D9">
            <w:pPr>
              <w:rPr>
                <w:sz w:val="18"/>
                <w:szCs w:val="18"/>
              </w:rPr>
            </w:pPr>
            <w:r>
              <w:rPr>
                <w:b/>
                <w:color w:val="FF0000"/>
                <w:sz w:val="18"/>
                <w:szCs w:val="18"/>
              </w:rPr>
              <w:t>不满足</w:t>
            </w:r>
          </w:p>
        </w:tc>
      </w:tr>
      <w:tr w14:paraId="575D6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5D9CF0E">
            <w:pPr>
              <w:rPr>
                <w:sz w:val="18"/>
                <w:szCs w:val="18"/>
              </w:rPr>
            </w:pPr>
          </w:p>
        </w:tc>
        <w:tc>
          <w:tcPr>
            <w:vAlign w:val="center"/>
          </w:tcPr>
          <w:p w14:paraId="3FDEFB62">
            <w:pPr>
              <w:rPr>
                <w:sz w:val="18"/>
                <w:szCs w:val="18"/>
              </w:rPr>
            </w:pPr>
            <w:r>
              <w:rPr>
                <w:sz w:val="18"/>
                <w:szCs w:val="18"/>
              </w:rPr>
              <w:t>2002[卧室]</w:t>
            </w:r>
          </w:p>
        </w:tc>
        <w:tc>
          <w:tcPr>
            <w:vAlign w:val="center"/>
          </w:tcPr>
          <w:p w14:paraId="0CF612DF">
            <w:pPr>
              <w:rPr>
                <w:sz w:val="18"/>
                <w:szCs w:val="18"/>
              </w:rPr>
            </w:pPr>
            <w:r>
              <w:rPr>
                <w:sz w:val="18"/>
                <w:szCs w:val="18"/>
              </w:rPr>
              <w:t>卧室</w:t>
            </w:r>
          </w:p>
        </w:tc>
        <w:tc>
          <w:tcPr>
            <w:vAlign w:val="center"/>
          </w:tcPr>
          <w:p w14:paraId="3DE5E6AA">
            <w:pPr>
              <w:rPr>
                <w:sz w:val="18"/>
                <w:szCs w:val="18"/>
              </w:rPr>
            </w:pPr>
            <w:r>
              <w:rPr>
                <w:sz w:val="18"/>
                <w:szCs w:val="18"/>
              </w:rPr>
              <w:t>IV</w:t>
            </w:r>
          </w:p>
        </w:tc>
        <w:tc>
          <w:tcPr>
            <w:vAlign w:val="center"/>
          </w:tcPr>
          <w:p w14:paraId="7740552C">
            <w:pPr>
              <w:rPr>
                <w:sz w:val="18"/>
                <w:szCs w:val="18"/>
              </w:rPr>
            </w:pPr>
            <w:r>
              <w:rPr>
                <w:sz w:val="18"/>
                <w:szCs w:val="18"/>
              </w:rPr>
              <w:t>侧面</w:t>
            </w:r>
          </w:p>
        </w:tc>
        <w:tc>
          <w:tcPr>
            <w:vAlign w:val="center"/>
          </w:tcPr>
          <w:p w14:paraId="3F6918E6">
            <w:pPr>
              <w:rPr>
                <w:sz w:val="18"/>
                <w:szCs w:val="18"/>
              </w:rPr>
            </w:pPr>
            <w:r>
              <w:rPr>
                <w:sz w:val="18"/>
                <w:szCs w:val="18"/>
              </w:rPr>
              <w:t>13.94</w:t>
            </w:r>
          </w:p>
        </w:tc>
        <w:tc>
          <w:tcPr>
            <w:vAlign w:val="center"/>
          </w:tcPr>
          <w:p w14:paraId="072E2BCD">
            <w:pPr>
              <w:rPr>
                <w:sz w:val="18"/>
                <w:szCs w:val="18"/>
              </w:rPr>
            </w:pPr>
            <w:r>
              <w:rPr>
                <w:sz w:val="18"/>
                <w:szCs w:val="18"/>
              </w:rPr>
              <w:t>1.23</w:t>
            </w:r>
          </w:p>
        </w:tc>
        <w:tc>
          <w:tcPr>
            <w:vAlign w:val="center"/>
          </w:tcPr>
          <w:p w14:paraId="298D38AF">
            <w:pPr>
              <w:rPr>
                <w:sz w:val="18"/>
                <w:szCs w:val="18"/>
              </w:rPr>
            </w:pPr>
            <w:r>
              <w:rPr>
                <w:sz w:val="18"/>
                <w:szCs w:val="18"/>
              </w:rPr>
              <w:t>2.20</w:t>
            </w:r>
          </w:p>
        </w:tc>
        <w:tc>
          <w:tcPr>
            <w:vAlign w:val="center"/>
          </w:tcPr>
          <w:p w14:paraId="1539FECF">
            <w:pPr>
              <w:rPr>
                <w:sz w:val="18"/>
                <w:szCs w:val="18"/>
              </w:rPr>
            </w:pPr>
            <w:r>
              <w:rPr>
                <w:b/>
                <w:color w:val="FF0000"/>
                <w:sz w:val="18"/>
                <w:szCs w:val="18"/>
              </w:rPr>
              <w:t>不满足</w:t>
            </w:r>
          </w:p>
        </w:tc>
      </w:tr>
      <w:tr w14:paraId="3231B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D1C050A">
            <w:pPr>
              <w:rPr>
                <w:sz w:val="18"/>
                <w:szCs w:val="18"/>
              </w:rPr>
            </w:pPr>
          </w:p>
        </w:tc>
        <w:tc>
          <w:tcPr>
            <w:vAlign w:val="center"/>
          </w:tcPr>
          <w:p w14:paraId="3A8EA89A">
            <w:pPr>
              <w:rPr>
                <w:sz w:val="18"/>
                <w:szCs w:val="18"/>
              </w:rPr>
            </w:pPr>
            <w:r>
              <w:rPr>
                <w:sz w:val="18"/>
                <w:szCs w:val="18"/>
              </w:rPr>
              <w:t>2003[卧室]</w:t>
            </w:r>
          </w:p>
        </w:tc>
        <w:tc>
          <w:tcPr>
            <w:vAlign w:val="center"/>
          </w:tcPr>
          <w:p w14:paraId="78FB7336">
            <w:pPr>
              <w:rPr>
                <w:sz w:val="18"/>
                <w:szCs w:val="18"/>
              </w:rPr>
            </w:pPr>
            <w:r>
              <w:rPr>
                <w:sz w:val="18"/>
                <w:szCs w:val="18"/>
              </w:rPr>
              <w:t>卧室</w:t>
            </w:r>
          </w:p>
        </w:tc>
        <w:tc>
          <w:tcPr>
            <w:vAlign w:val="center"/>
          </w:tcPr>
          <w:p w14:paraId="51B70CAE">
            <w:pPr>
              <w:rPr>
                <w:sz w:val="18"/>
                <w:szCs w:val="18"/>
              </w:rPr>
            </w:pPr>
            <w:r>
              <w:rPr>
                <w:sz w:val="18"/>
                <w:szCs w:val="18"/>
              </w:rPr>
              <w:t>IV</w:t>
            </w:r>
          </w:p>
        </w:tc>
        <w:tc>
          <w:tcPr>
            <w:vAlign w:val="center"/>
          </w:tcPr>
          <w:p w14:paraId="7761855B">
            <w:pPr>
              <w:rPr>
                <w:sz w:val="18"/>
                <w:szCs w:val="18"/>
              </w:rPr>
            </w:pPr>
            <w:r>
              <w:rPr>
                <w:sz w:val="18"/>
                <w:szCs w:val="18"/>
              </w:rPr>
              <w:t>侧面</w:t>
            </w:r>
          </w:p>
        </w:tc>
        <w:tc>
          <w:tcPr>
            <w:vAlign w:val="center"/>
          </w:tcPr>
          <w:p w14:paraId="2F0EFFF5">
            <w:pPr>
              <w:rPr>
                <w:sz w:val="18"/>
                <w:szCs w:val="18"/>
              </w:rPr>
            </w:pPr>
            <w:r>
              <w:rPr>
                <w:sz w:val="18"/>
                <w:szCs w:val="18"/>
              </w:rPr>
              <w:t>11.90</w:t>
            </w:r>
          </w:p>
        </w:tc>
        <w:tc>
          <w:tcPr>
            <w:vAlign w:val="center"/>
          </w:tcPr>
          <w:p w14:paraId="4CE4E86C">
            <w:pPr>
              <w:rPr>
                <w:sz w:val="18"/>
                <w:szCs w:val="18"/>
              </w:rPr>
            </w:pPr>
            <w:r>
              <w:rPr>
                <w:sz w:val="18"/>
                <w:szCs w:val="18"/>
              </w:rPr>
              <w:t>3.49</w:t>
            </w:r>
          </w:p>
        </w:tc>
        <w:tc>
          <w:tcPr>
            <w:vAlign w:val="center"/>
          </w:tcPr>
          <w:p w14:paraId="2EA0A271">
            <w:pPr>
              <w:rPr>
                <w:sz w:val="18"/>
                <w:szCs w:val="18"/>
              </w:rPr>
            </w:pPr>
            <w:r>
              <w:rPr>
                <w:sz w:val="18"/>
                <w:szCs w:val="18"/>
              </w:rPr>
              <w:t>2.20</w:t>
            </w:r>
          </w:p>
        </w:tc>
        <w:tc>
          <w:tcPr>
            <w:vAlign w:val="center"/>
          </w:tcPr>
          <w:p w14:paraId="1054E73B">
            <w:pPr>
              <w:rPr>
                <w:sz w:val="18"/>
                <w:szCs w:val="18"/>
              </w:rPr>
            </w:pPr>
            <w:r>
              <w:rPr>
                <w:b/>
                <w:sz w:val="18"/>
                <w:szCs w:val="18"/>
              </w:rPr>
              <w:t>满足</w:t>
            </w:r>
          </w:p>
        </w:tc>
      </w:tr>
    </w:tbl>
    <w:p w14:paraId="22B9AA40">
      <w:pPr>
        <w:pStyle w:val="3"/>
        <w:rPr>
          <w:rFonts w:ascii="宋体" w:hAnsi="宋体"/>
          <w:sz w:val="18"/>
          <w:szCs w:val="18"/>
          <w:lang w:val="en-US"/>
        </w:rPr>
      </w:pPr>
    </w:p>
    <w:p w14:paraId="47C511D2">
      <w:pPr>
        <w:pStyle w:val="2"/>
        <w:ind w:left="432" w:hanging="432"/>
      </w:pPr>
      <w:bookmarkStart w:id="77" w:name="_Toc28433"/>
      <w:r>
        <w:rPr>
          <w:rFonts w:hint="eastAsia"/>
        </w:rPr>
        <w:t>采光</w:t>
      </w:r>
      <w:r>
        <w:t>效果分析</w:t>
      </w:r>
      <w:r>
        <w:rPr>
          <w:rFonts w:hint="eastAsia"/>
        </w:rPr>
        <w:t>彩图</w:t>
      </w:r>
      <w:bookmarkEnd w:id="77"/>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78" w:name="彩图"/>
      <w:bookmarkEnd w:id="78"/>
      <w:r>
        <w:rPr>
          <w:rFonts w:hint="eastAsia"/>
        </w:rPr>
        <w:t xml:space="preserve"> </w:t>
      </w:r>
    </w:p>
    <w:p w14:paraId="448B1919">
      <w:r>
        <w:drawing>
          <wp:inline distT="0" distB="0" distL="0" distR="0">
            <wp:extent cx="5667375" cy="66770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5667375" cy="6677025"/>
                    </a:xfrm>
                    <a:prstGeom prst="rect">
                      <a:avLst/>
                    </a:prstGeom>
                  </pic:spPr>
                </pic:pic>
              </a:graphicData>
            </a:graphic>
          </wp:inline>
        </w:drawing>
      </w:r>
    </w:p>
    <w:p w14:paraId="75AA6F99">
      <w:r>
        <w:t>1层</w:t>
      </w:r>
    </w:p>
    <w:p w14:paraId="11C4E439">
      <w:r>
        <w:drawing>
          <wp:inline distT="0" distB="0" distL="0" distR="0">
            <wp:extent cx="5667375" cy="667702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6677025"/>
                    </a:xfrm>
                    <a:prstGeom prst="rect">
                      <a:avLst/>
                    </a:prstGeom>
                  </pic:spPr>
                </pic:pic>
              </a:graphicData>
            </a:graphic>
          </wp:inline>
        </w:drawing>
      </w:r>
    </w:p>
    <w:p w14:paraId="0973776B">
      <w:r>
        <w:t>2层</w:t>
      </w:r>
    </w:p>
    <w:p w14:paraId="06400372"/>
    <w:p w14:paraId="274E9D83">
      <w:pPr>
        <w:pStyle w:val="2"/>
        <w:ind w:left="432" w:hanging="432"/>
      </w:pPr>
      <w:bookmarkStart w:id="79" w:name="_Toc226"/>
      <w:r>
        <w:rPr>
          <w:rFonts w:hint="eastAsia"/>
        </w:rPr>
        <w:t>结论</w:t>
      </w:r>
      <w:bookmarkEnd w:id="79"/>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0" w:name="综述"/>
      <w:bookmarkEnd w:id="80"/>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6D84D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DFB175D">
            <w:pPr>
              <w:jc w:val="center"/>
            </w:pPr>
            <w:r>
              <w:t>房间/面积</w:t>
            </w:r>
          </w:p>
        </w:tc>
        <w:tc>
          <w:tcPr>
            <w:shd w:val="clear" w:color="auto" w:fill="E6E6E6"/>
            <w:vAlign w:val="center"/>
          </w:tcPr>
          <w:p w14:paraId="792D689D">
            <w:pPr>
              <w:jc w:val="center"/>
            </w:pPr>
            <w:r>
              <w:t>总数</w:t>
            </w:r>
          </w:p>
        </w:tc>
        <w:tc>
          <w:tcPr>
            <w:shd w:val="clear" w:color="auto" w:fill="E6E6E6"/>
            <w:vAlign w:val="center"/>
          </w:tcPr>
          <w:p w14:paraId="6F6B5E4E">
            <w:pPr>
              <w:jc w:val="center"/>
            </w:pPr>
            <w:r>
              <w:t>满足要求数量</w:t>
            </w:r>
          </w:p>
        </w:tc>
        <w:tc>
          <w:tcPr>
            <w:shd w:val="clear" w:color="auto" w:fill="E6E6E6"/>
            <w:vAlign w:val="center"/>
          </w:tcPr>
          <w:p w14:paraId="7B0A7B27">
            <w:pPr>
              <w:jc w:val="center"/>
            </w:pPr>
            <w:r>
              <w:t>满足要求比例(%)</w:t>
            </w:r>
          </w:p>
        </w:tc>
        <w:tc>
          <w:tcPr>
            <w:shd w:val="clear" w:color="auto" w:fill="E6E6E6"/>
            <w:vAlign w:val="center"/>
          </w:tcPr>
          <w:p w14:paraId="3C038C2F">
            <w:pPr>
              <w:jc w:val="center"/>
            </w:pPr>
            <w:r>
              <w:t>不满足非强条的房间</w:t>
            </w:r>
          </w:p>
        </w:tc>
        <w:tc>
          <w:tcPr>
            <w:shd w:val="clear" w:color="auto" w:fill="E6E6E6"/>
            <w:vAlign w:val="center"/>
          </w:tcPr>
          <w:p w14:paraId="3596E83B">
            <w:pPr>
              <w:jc w:val="center"/>
            </w:pPr>
            <w:r>
              <w:t>不满足强条的房间</w:t>
            </w:r>
          </w:p>
        </w:tc>
      </w:tr>
      <w:tr w14:paraId="1CFAD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BA3CAB4">
            <w:r>
              <w:t>房间(个)</w:t>
            </w:r>
          </w:p>
        </w:tc>
        <w:tc>
          <w:tcPr>
            <w:vAlign w:val="center"/>
          </w:tcPr>
          <w:p w14:paraId="2E2ACE52">
            <w:r>
              <w:t>4</w:t>
            </w:r>
          </w:p>
        </w:tc>
        <w:tc>
          <w:tcPr>
            <w:vAlign w:val="center"/>
          </w:tcPr>
          <w:p w14:paraId="1035BFD5">
            <w:r>
              <w:t>1</w:t>
            </w:r>
          </w:p>
        </w:tc>
        <w:tc>
          <w:tcPr>
            <w:vAlign w:val="center"/>
          </w:tcPr>
          <w:p w14:paraId="7CC15616">
            <w:r>
              <w:t>25.00</w:t>
            </w:r>
          </w:p>
        </w:tc>
        <w:tc>
          <w:tcPr>
            <w:vAlign w:val="center"/>
          </w:tcPr>
          <w:p w14:paraId="571DD08F"/>
        </w:tc>
        <w:tc>
          <w:tcPr>
            <w:vAlign w:val="center"/>
          </w:tcPr>
          <w:p w14:paraId="35A9B0FE">
            <w:r>
              <w:rPr>
                <w:b/>
                <w:color w:val="FF0000"/>
              </w:rPr>
              <w:t xml:space="preserve">1001 2001 2002 </w:t>
            </w:r>
          </w:p>
        </w:tc>
      </w:tr>
      <w:tr w14:paraId="321050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C2D2CC4">
            <w:r>
              <w:t>采光面积(㎡)</w:t>
            </w:r>
          </w:p>
        </w:tc>
        <w:tc>
          <w:tcPr>
            <w:vAlign w:val="center"/>
          </w:tcPr>
          <w:p w14:paraId="677A7BC7">
            <w:r>
              <w:t>84.51</w:t>
            </w:r>
          </w:p>
        </w:tc>
        <w:tc>
          <w:tcPr>
            <w:vAlign w:val="center"/>
          </w:tcPr>
          <w:p w14:paraId="3953F8B9">
            <w:r>
              <w:t>11.90</w:t>
            </w:r>
          </w:p>
        </w:tc>
        <w:tc>
          <w:tcPr>
            <w:vAlign w:val="center"/>
          </w:tcPr>
          <w:p w14:paraId="55E7E1CC">
            <w:r>
              <w:t>14.08</w:t>
            </w:r>
          </w:p>
        </w:tc>
        <w:tc>
          <w:tcPr>
            <w:vAlign w:val="center"/>
          </w:tcPr>
          <w:p w14:paraId="242C9602">
            <w:pPr>
              <w:jc w:val="center"/>
            </w:pPr>
            <w:r>
              <w:t>－－</w:t>
            </w:r>
          </w:p>
        </w:tc>
        <w:tc>
          <w:tcPr>
            <w:vAlign w:val="center"/>
          </w:tcPr>
          <w:p w14:paraId="0C330536">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1" w:name="总平面图"/>
      <w:bookmarkEnd w:id="81"/>
      <w:r>
        <w:drawing>
          <wp:inline distT="0" distB="0" distL="0" distR="0">
            <wp:extent cx="5667375" cy="46005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4600575"/>
                    </a:xfrm>
                    <a:prstGeom prst="rect">
                      <a:avLst/>
                    </a:prstGeom>
                  </pic:spPr>
                </pic:pic>
              </a:graphicData>
            </a:graphic>
          </wp:inline>
        </w:drawing>
      </w:r>
    </w:p>
    <w:p w14:paraId="28FB10FF">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1B604D8D"/>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1B604D8D"/>
    <w:rsid w:val="6067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wj\AppData\Local\Temp\tmp1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tmp10.dotx</Template>
  <Pages>11</Pages>
  <Words>2926</Words>
  <Characters>3579</Characters>
  <Lines>32</Lines>
  <Paragraphs>9</Paragraphs>
  <TotalTime>0</TotalTime>
  <ScaleCrop>false</ScaleCrop>
  <LinksUpToDate>false</LinksUpToDate>
  <CharactersWithSpaces>4760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2026-01-04T06:35:00Z</dcterms:created>
  <dc:creator>沈钊杰</dc:creator>
  <cp:lastModifiedBy>沈钊杰</cp:lastModifiedBy>
  <dcterms:modified xsi:type="dcterms:W3CDTF">2026-01-04T06:35:54Z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F2E440328FA749C398D03A97F4A7F406_11</vt:lpwstr>
  </property>
  <property fmtid="{D5CDD505-2E9C-101B-9397-08002B2CF9AE}" pid="4" name="KSOTemplateDocerSaveRecord">
    <vt:lpwstr>eyJoZGlkIjoiYzM5NDhhNTNiNTg3MGRhNDViZDU1MGEwNjU0M2U1ZjciLCJ1c2VySWQiOiIyMzI4NzI0NzQifQ==</vt:lpwstr>
  </property>
</Properties>
</file>