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0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4"/>
          <w:szCs w:val="44"/>
        </w:rPr>
      </w:pPr>
      <w:bookmarkStart w:id="0" w:name="_GoBack"/>
      <w:r>
        <w:rPr>
          <w:color w:val="000000"/>
          <w:sz w:val="44"/>
          <w:szCs w:val="44"/>
          <w:bdr w:val="none" w:color="auto" w:sz="0" w:space="0"/>
        </w:rPr>
        <w:t>相关区域照度检测报告</w:t>
      </w:r>
    </w:p>
    <w:bookmarkEnd w:id="0"/>
    <w:p w14:paraId="44914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：绿野・牧歌 —— 基于双碳背景下一站式文化便民垂直综合楼</w:t>
      </w:r>
    </w:p>
    <w:p w14:paraId="297DA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报告编号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：LD-ZD-20260325</w:t>
      </w:r>
    </w:p>
    <w:p w14:paraId="6B77E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检测单位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58A8D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检测日期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4D012A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一、检测依据</w:t>
      </w:r>
    </w:p>
    <w:p w14:paraId="14F0CB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《建筑照明设计标准》GB 50034-2013</w:t>
      </w:r>
    </w:p>
    <w:p w14:paraId="2BB2FD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《绿色建筑评价标准》GB/T 50378-2019</w:t>
      </w:r>
    </w:p>
    <w:p w14:paraId="6D24D7F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本项目道路照明设计文件</w:t>
      </w:r>
    </w:p>
    <w:p w14:paraId="799096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二、检测范围</w:t>
      </w:r>
    </w:p>
    <w:p w14:paraId="5DA7998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建筑周边人行道路</w:t>
      </w:r>
    </w:p>
    <w:p w14:paraId="157CFA1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出入口通道及回车场地</w:t>
      </w:r>
    </w:p>
    <w:p w14:paraId="58FF563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消防疏散通道</w:t>
      </w:r>
    </w:p>
    <w:p w14:paraId="6D5C4F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公共广场及景观节点</w:t>
      </w:r>
    </w:p>
    <w:p w14:paraId="741360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三、检测标准</w:t>
      </w:r>
    </w:p>
    <w:p w14:paraId="4FA8919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人行道路：平均照度≥20lx，均匀度≥0.4</w:t>
      </w:r>
    </w:p>
    <w:p w14:paraId="73DAF4F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出入口通道：平均照度≥30lx，均匀度≥0.4</w:t>
      </w:r>
    </w:p>
    <w:p w14:paraId="036A17F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消防通道：平均照度≥20lx，满足疏散通行要求</w:t>
      </w:r>
    </w:p>
    <w:p w14:paraId="608ED7A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眩光限制：符合规范限值，无明显眩光</w:t>
      </w:r>
    </w:p>
    <w:p w14:paraId="0FEBE4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四、检测结果</w:t>
      </w:r>
    </w:p>
    <w:p w14:paraId="39563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598"/>
        <w:gridCol w:w="1110"/>
        <w:gridCol w:w="1230"/>
        <w:gridCol w:w="1009"/>
      </w:tblGrid>
      <w:tr w14:paraId="13A6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49EF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检测区域</w:t>
            </w:r>
          </w:p>
        </w:tc>
        <w:tc>
          <w:tcPr>
            <w:tcW w:w="0" w:type="auto"/>
            <w:shd w:val="clear"/>
            <w:vAlign w:val="center"/>
          </w:tcPr>
          <w:p w14:paraId="64D5F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平均照度 (lx)</w:t>
            </w:r>
          </w:p>
        </w:tc>
        <w:tc>
          <w:tcPr>
            <w:tcW w:w="0" w:type="auto"/>
            <w:shd w:val="clear"/>
            <w:vAlign w:val="center"/>
          </w:tcPr>
          <w:p w14:paraId="6008D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均匀度</w:t>
            </w:r>
          </w:p>
        </w:tc>
        <w:tc>
          <w:tcPr>
            <w:tcW w:w="0" w:type="auto"/>
            <w:shd w:val="clear"/>
            <w:vAlign w:val="center"/>
          </w:tcPr>
          <w:p w14:paraId="70E72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眩光情况</w:t>
            </w:r>
          </w:p>
        </w:tc>
        <w:tc>
          <w:tcPr>
            <w:tcW w:w="0" w:type="auto"/>
            <w:shd w:val="clear"/>
            <w:vAlign w:val="center"/>
          </w:tcPr>
          <w:p w14:paraId="5F70C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检测结论</w:t>
            </w:r>
          </w:p>
        </w:tc>
      </w:tr>
      <w:tr w14:paraId="6867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40E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人行道路</w:t>
            </w:r>
          </w:p>
        </w:tc>
        <w:tc>
          <w:tcPr>
            <w:tcW w:w="0" w:type="auto"/>
            <w:shd w:val="clear"/>
            <w:vAlign w:val="center"/>
          </w:tcPr>
          <w:p w14:paraId="57D81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25-32</w:t>
            </w:r>
          </w:p>
        </w:tc>
        <w:tc>
          <w:tcPr>
            <w:tcW w:w="0" w:type="auto"/>
            <w:shd w:val="clear"/>
            <w:vAlign w:val="center"/>
          </w:tcPr>
          <w:p w14:paraId="72E1D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0.45-0.55</w:t>
            </w:r>
          </w:p>
        </w:tc>
        <w:tc>
          <w:tcPr>
            <w:tcW w:w="0" w:type="auto"/>
            <w:shd w:val="clear"/>
            <w:vAlign w:val="center"/>
          </w:tcPr>
          <w:p w14:paraId="29870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无明显眩光</w:t>
            </w:r>
          </w:p>
        </w:tc>
        <w:tc>
          <w:tcPr>
            <w:tcW w:w="0" w:type="auto"/>
            <w:shd w:val="clear"/>
            <w:vAlign w:val="center"/>
          </w:tcPr>
          <w:p w14:paraId="6068B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A0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24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出入口通道</w:t>
            </w:r>
          </w:p>
        </w:tc>
        <w:tc>
          <w:tcPr>
            <w:tcW w:w="0" w:type="auto"/>
            <w:shd w:val="clear"/>
            <w:vAlign w:val="center"/>
          </w:tcPr>
          <w:p w14:paraId="1A68A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35-42</w:t>
            </w:r>
          </w:p>
        </w:tc>
        <w:tc>
          <w:tcPr>
            <w:tcW w:w="0" w:type="auto"/>
            <w:shd w:val="clear"/>
            <w:vAlign w:val="center"/>
          </w:tcPr>
          <w:p w14:paraId="4555E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0.50-0.60</w:t>
            </w:r>
          </w:p>
        </w:tc>
        <w:tc>
          <w:tcPr>
            <w:tcW w:w="0" w:type="auto"/>
            <w:shd w:val="clear"/>
            <w:vAlign w:val="center"/>
          </w:tcPr>
          <w:p w14:paraId="45A8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无明显眩光</w:t>
            </w:r>
          </w:p>
        </w:tc>
        <w:tc>
          <w:tcPr>
            <w:tcW w:w="0" w:type="auto"/>
            <w:shd w:val="clear"/>
            <w:vAlign w:val="center"/>
          </w:tcPr>
          <w:p w14:paraId="51317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D2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B8F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消防通道</w:t>
            </w:r>
          </w:p>
        </w:tc>
        <w:tc>
          <w:tcPr>
            <w:tcW w:w="0" w:type="auto"/>
            <w:shd w:val="clear"/>
            <w:vAlign w:val="center"/>
          </w:tcPr>
          <w:p w14:paraId="16457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22-28</w:t>
            </w:r>
          </w:p>
        </w:tc>
        <w:tc>
          <w:tcPr>
            <w:tcW w:w="0" w:type="auto"/>
            <w:shd w:val="clear"/>
            <w:vAlign w:val="center"/>
          </w:tcPr>
          <w:p w14:paraId="7D310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0.42-0.52</w:t>
            </w:r>
          </w:p>
        </w:tc>
        <w:tc>
          <w:tcPr>
            <w:tcW w:w="0" w:type="auto"/>
            <w:shd w:val="clear"/>
            <w:vAlign w:val="center"/>
          </w:tcPr>
          <w:p w14:paraId="1B6E5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无明显眩光</w:t>
            </w:r>
          </w:p>
        </w:tc>
        <w:tc>
          <w:tcPr>
            <w:tcW w:w="0" w:type="auto"/>
            <w:shd w:val="clear"/>
            <w:vAlign w:val="center"/>
          </w:tcPr>
          <w:p w14:paraId="50A62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DD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8D1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公共广场</w:t>
            </w:r>
          </w:p>
        </w:tc>
        <w:tc>
          <w:tcPr>
            <w:tcW w:w="0" w:type="auto"/>
            <w:shd w:val="clear"/>
            <w:vAlign w:val="center"/>
          </w:tcPr>
          <w:p w14:paraId="330C7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18-25</w:t>
            </w:r>
          </w:p>
        </w:tc>
        <w:tc>
          <w:tcPr>
            <w:tcW w:w="0" w:type="auto"/>
            <w:shd w:val="clear"/>
            <w:vAlign w:val="center"/>
          </w:tcPr>
          <w:p w14:paraId="1E6C2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0.40-0.50</w:t>
            </w:r>
          </w:p>
        </w:tc>
        <w:tc>
          <w:tcPr>
            <w:tcW w:w="0" w:type="auto"/>
            <w:shd w:val="clear"/>
            <w:vAlign w:val="center"/>
          </w:tcPr>
          <w:p w14:paraId="7BD38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无明显眩光</w:t>
            </w:r>
          </w:p>
        </w:tc>
        <w:tc>
          <w:tcPr>
            <w:tcW w:w="0" w:type="auto"/>
            <w:shd w:val="clear"/>
            <w:vAlign w:val="center"/>
          </w:tcPr>
          <w:p w14:paraId="70416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EA971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五、检测结论</w:t>
      </w:r>
    </w:p>
    <w:p w14:paraId="5CA3E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本次检测的相关区域照明照度、均匀度及眩光控制均满足现行规范及绿色建筑三星级要求，照明系统运行正常，可保障夜间通行安全与节能运行。</w:t>
      </w:r>
    </w:p>
    <w:p w14:paraId="2A3CE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8A1FF"/>
    <w:multiLevelType w:val="multilevel"/>
    <w:tmpl w:val="DEB8A1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9D66A7B"/>
    <w:multiLevelType w:val="multilevel"/>
    <w:tmpl w:val="F9D66A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1375B88"/>
    <w:multiLevelType w:val="multilevel"/>
    <w:tmpl w:val="21375B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6C34"/>
    <w:rsid w:val="7D9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2026-03-25T12:25:00Z</dcterms:created>
  <dc:creator>盐焗小星球</dc:creator>
  <cp:lastModifiedBy>盐焗小星球</cp:lastModifiedBy>
  <dcterms:modified xsi:type="dcterms:W3CDTF">2026-03-25T12:25:46Z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6B02BE2A60A449A8833443C42FF1B32E_11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