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B792B">
      <w:pPr>
        <w:spacing w:before="480" w:after="480" w:line="288" w:lineRule="auto"/>
        <w:ind w:left="0"/>
      </w:pPr>
      <w:r>
        <w:rPr>
          <w:rFonts w:ascii="Arial" w:hAnsi="Arial" w:eastAsia="等线" w:cs="Arial"/>
          <w:b/>
          <w:sz w:val="52"/>
        </w:rPr>
        <w:t>昆明市盘龙区青少年活动中心旧项目利用改造智慧养老活动中心专项报告</w:t>
      </w:r>
    </w:p>
    <w:p w14:paraId="520E9113">
      <w:pPr>
        <w:spacing w:before="320" w:after="120" w:line="288" w:lineRule="auto"/>
        <w:ind w:left="0"/>
        <w:jc w:val="left"/>
        <w:outlineLvl w:val="1"/>
      </w:pPr>
      <w:bookmarkStart w:id="0" w:name="heading_0"/>
      <w:r>
        <w:rPr>
          <w:rFonts w:ascii="Arial" w:hAnsi="Arial" w:eastAsia="等线" w:cs="Arial"/>
          <w:b/>
          <w:sz w:val="32"/>
        </w:rPr>
        <w:t>一、项目基本概况</w:t>
      </w:r>
      <w:bookmarkEnd w:id="0"/>
    </w:p>
    <w:p w14:paraId="18D47287">
      <w:pPr>
        <w:spacing w:before="300" w:after="120" w:line="288" w:lineRule="auto"/>
        <w:ind w:left="0"/>
        <w:jc w:val="left"/>
        <w:outlineLvl w:val="2"/>
      </w:pPr>
      <w:bookmarkStart w:id="1" w:name="heading_1"/>
      <w:r>
        <w:rPr>
          <w:rFonts w:ascii="Arial" w:hAnsi="Arial" w:eastAsia="等线" w:cs="Arial"/>
          <w:b/>
          <w:sz w:val="30"/>
        </w:rPr>
        <w:t>（一）原有项目概况</w:t>
      </w:r>
      <w:bookmarkEnd w:id="1"/>
    </w:p>
    <w:p w14:paraId="799DBD66">
      <w:pPr>
        <w:spacing w:before="120" w:after="120" w:line="288" w:lineRule="auto"/>
        <w:ind w:left="0"/>
        <w:jc w:val="left"/>
      </w:pPr>
      <w:r>
        <w:rPr>
          <w:rFonts w:ascii="Arial" w:hAnsi="Arial" w:eastAsia="等线" w:cs="Arial"/>
          <w:sz w:val="22"/>
        </w:rPr>
        <w:t>本次改造依托既有</w:t>
      </w:r>
      <w:r>
        <w:rPr>
          <w:rFonts w:ascii="Arial" w:hAnsi="Arial" w:eastAsia="等线" w:cs="Arial"/>
          <w:b/>
          <w:sz w:val="22"/>
        </w:rPr>
        <w:t>昆明市盘龙区青少年活动中心</w:t>
      </w:r>
      <w:r>
        <w:rPr>
          <w:rFonts w:ascii="Arial" w:hAnsi="Arial" w:eastAsia="等线" w:cs="Arial"/>
          <w:sz w:val="22"/>
        </w:rPr>
        <w:t>（桃源街97号）实施，该项目地处盘龙区主城核心区域，周边社区密集，交通便利，配套完善。原有建筑为三层框架结构，主要面向青少年群体提供课外教育、活动开展、文体培训等服务，随着区域人口结构变化，原有青少年服务功能与当前区域民生服务需求匹配度下降，建筑部分设施老化、功能布局单一，空间利用率逐步降低，存在服务功能与区域民生需求脱节、设施适配性不足、能耗较高等问题。</w:t>
      </w:r>
    </w:p>
    <w:p w14:paraId="77173C58">
      <w:pPr>
        <w:spacing w:before="300" w:after="120" w:line="288" w:lineRule="auto"/>
        <w:ind w:left="0"/>
        <w:jc w:val="left"/>
        <w:outlineLvl w:val="2"/>
      </w:pPr>
      <w:bookmarkStart w:id="2" w:name="heading_2"/>
      <w:r>
        <w:rPr>
          <w:rFonts w:ascii="Arial" w:hAnsi="Arial" w:eastAsia="等线" w:cs="Arial"/>
          <w:b/>
          <w:sz w:val="30"/>
        </w:rPr>
        <w:t>（二）改造项目概况</w:t>
      </w:r>
      <w:bookmarkEnd w:id="2"/>
    </w:p>
    <w:p w14:paraId="6B1620D6">
      <w:pPr>
        <w:spacing w:before="120" w:after="120" w:line="288" w:lineRule="auto"/>
        <w:ind w:left="0"/>
        <w:jc w:val="left"/>
      </w:pPr>
      <w:r>
        <w:rPr>
          <w:rFonts w:ascii="Arial" w:hAnsi="Arial" w:eastAsia="等线" w:cs="Arial"/>
          <w:sz w:val="22"/>
        </w:rPr>
        <w:t>为盘活既有公共服务资源、补齐区域养老服务短板，本项目依托盘龙区青少年活动中心既有建筑及场地，实施适老化、智慧化、低碳化升级改造，打造集休闲娱乐、健康监测、智能服务、安全防护于一体的</w:t>
      </w:r>
      <w:r>
        <w:rPr>
          <w:rFonts w:ascii="Arial" w:hAnsi="Arial" w:eastAsia="等线" w:cs="Arial"/>
          <w:b/>
          <w:sz w:val="22"/>
        </w:rPr>
        <w:t>智慧养老活动中心</w:t>
      </w:r>
      <w:r>
        <w:rPr>
          <w:rFonts w:ascii="Arial" w:hAnsi="Arial" w:eastAsia="等线" w:cs="Arial"/>
          <w:sz w:val="22"/>
        </w:rPr>
        <w:t>。项目总建筑面积结合原有建筑实际规模，保留主体建筑结构，优化空间布局，全面升级设施设备，无需新增建设用地，实现旧公共服务资源高效再利用，精准满足盘龙区老年群体居家社区养老服务需求。</w:t>
      </w:r>
    </w:p>
    <w:p w14:paraId="40161FCB">
      <w:pPr>
        <w:spacing w:before="300" w:after="120" w:line="288" w:lineRule="auto"/>
        <w:ind w:left="0"/>
        <w:jc w:val="left"/>
        <w:outlineLvl w:val="2"/>
      </w:pPr>
      <w:bookmarkStart w:id="3" w:name="heading_3"/>
      <w:r>
        <w:rPr>
          <w:rFonts w:ascii="Arial" w:hAnsi="Arial" w:eastAsia="等线" w:cs="Arial"/>
          <w:b/>
          <w:sz w:val="30"/>
        </w:rPr>
        <w:t>（三）区域人口背景</w:t>
      </w:r>
      <w:bookmarkEnd w:id="3"/>
    </w:p>
    <w:p w14:paraId="4B2A62EF">
      <w:pPr>
        <w:spacing w:before="120" w:after="120" w:line="288" w:lineRule="auto"/>
        <w:ind w:left="0"/>
        <w:jc w:val="left"/>
      </w:pPr>
      <w:r>
        <w:rPr>
          <w:rFonts w:ascii="Arial" w:hAnsi="Arial" w:eastAsia="等线" w:cs="Arial"/>
          <w:sz w:val="22"/>
        </w:rPr>
        <w:t>昆明市盘龙区户籍人口63.36万，其中60岁以上老年人口达16.13万，占户籍总人口比例25.46%，区域老龄化程度高、老年人口增速快，且项目选址周边老年人口密度呈现“中心高、外围低”特征，周边社区老年群体就近养老服务需求迫切，现有养老服务设施供给不足，既有青少年活动中心改造转型，成为补齐区域养老服务短板的最优路径。</w:t>
      </w:r>
    </w:p>
    <w:p w14:paraId="719D48E5">
      <w:pPr>
        <w:spacing w:before="320" w:after="120" w:line="288" w:lineRule="auto"/>
        <w:ind w:left="0"/>
        <w:jc w:val="left"/>
        <w:outlineLvl w:val="1"/>
      </w:pPr>
      <w:bookmarkStart w:id="4" w:name="heading_4"/>
      <w:r>
        <w:rPr>
          <w:rFonts w:ascii="Arial" w:hAnsi="Arial" w:eastAsia="等线" w:cs="Arial"/>
          <w:b/>
          <w:sz w:val="32"/>
        </w:rPr>
        <w:t>二、旧项目利用的必要性与可行性</w:t>
      </w:r>
      <w:bookmarkEnd w:id="4"/>
    </w:p>
    <w:p w14:paraId="57AE92E9">
      <w:pPr>
        <w:spacing w:before="300" w:after="120" w:line="288" w:lineRule="auto"/>
        <w:ind w:left="0"/>
        <w:jc w:val="left"/>
        <w:outlineLvl w:val="2"/>
      </w:pPr>
      <w:bookmarkStart w:id="5" w:name="heading_5"/>
      <w:r>
        <w:rPr>
          <w:rFonts w:ascii="Arial" w:hAnsi="Arial" w:eastAsia="等线" w:cs="Arial"/>
          <w:b/>
          <w:sz w:val="30"/>
        </w:rPr>
        <w:t>（一）必要性</w:t>
      </w:r>
      <w:bookmarkEnd w:id="5"/>
    </w:p>
    <w:p w14:paraId="3E31778C">
      <w:pPr>
        <w:numPr>
          <w:ilvl w:val="0"/>
          <w:numId w:val="1"/>
        </w:numPr>
        <w:spacing w:before="120" w:after="120" w:line="288" w:lineRule="auto"/>
        <w:ind w:left="0"/>
        <w:jc w:val="left"/>
      </w:pPr>
      <w:r>
        <w:rPr>
          <w:rFonts w:ascii="Arial" w:hAnsi="Arial" w:eastAsia="等线" w:cs="Arial"/>
          <w:b/>
          <w:sz w:val="22"/>
        </w:rPr>
        <w:t>盘活存量资产，避免资源浪费</w:t>
      </w:r>
      <w:r>
        <w:rPr>
          <w:rFonts w:ascii="Arial" w:hAnsi="Arial" w:eastAsia="等线" w:cs="Arial"/>
          <w:sz w:val="22"/>
        </w:rPr>
        <w:t>：原有青少年活动中心建筑主体完好，具备改造再利用基础，通过功能转型改造，无需新建建筑，可大幅节约土地资源、建设资金及建设周期，实现公共服务存量资产高效盘活，杜绝既有建筑闲置、资源浪费问题。</w:t>
      </w:r>
    </w:p>
    <w:p w14:paraId="1F8407D7">
      <w:pPr>
        <w:numPr>
          <w:ilvl w:val="0"/>
          <w:numId w:val="2"/>
        </w:numPr>
        <w:spacing w:before="120" w:after="120" w:line="288" w:lineRule="auto"/>
        <w:ind w:left="0"/>
        <w:jc w:val="left"/>
      </w:pPr>
      <w:r>
        <w:rPr>
          <w:rFonts w:ascii="Arial" w:hAnsi="Arial" w:eastAsia="等线" w:cs="Arial"/>
          <w:b/>
          <w:sz w:val="22"/>
        </w:rPr>
        <w:t>补齐区域养老服务短板</w:t>
      </w:r>
      <w:r>
        <w:rPr>
          <w:rFonts w:ascii="Arial" w:hAnsi="Arial" w:eastAsia="等线" w:cs="Arial"/>
          <w:sz w:val="22"/>
        </w:rPr>
        <w:t>：项目地处主城核心、社区密集区域，周边老年人口集中，缺乏专业、智能、适老化的老年活动场所，原有场地以青少年服务为主，老年活动空间不足、设施适配性弱，改造后可直接填补区域智慧养老服务空白，满足老年群体就近便捷享受养老服务的需求。</w:t>
      </w:r>
    </w:p>
    <w:p w14:paraId="1B49D485">
      <w:pPr>
        <w:numPr>
          <w:ilvl w:val="0"/>
          <w:numId w:val="3"/>
        </w:numPr>
        <w:spacing w:before="120" w:after="120" w:line="288" w:lineRule="auto"/>
        <w:ind w:left="0"/>
        <w:jc w:val="left"/>
      </w:pPr>
      <w:r>
        <w:rPr>
          <w:rFonts w:ascii="Arial" w:hAnsi="Arial" w:eastAsia="等线" w:cs="Arial"/>
          <w:b/>
          <w:sz w:val="22"/>
        </w:rPr>
        <w:t>践行低碳绿色发展理念</w:t>
      </w:r>
      <w:r>
        <w:rPr>
          <w:rFonts w:ascii="Arial" w:hAnsi="Arial" w:eastAsia="等线" w:cs="Arial"/>
          <w:sz w:val="22"/>
        </w:rPr>
        <w:t>：相较于新建养老服务设施，旧建筑改造可减少建材消耗、建筑垃圾排放及施工能耗，契合国土空间低碳发展、城市更新高效利用资源的政策要求，同时同步实施低碳节能改造，实现资源利用与绿色发展双赢。</w:t>
      </w:r>
    </w:p>
    <w:p w14:paraId="57070D28">
      <w:pPr>
        <w:numPr>
          <w:ilvl w:val="0"/>
          <w:numId w:val="4"/>
        </w:numPr>
        <w:spacing w:before="120" w:after="120" w:line="288" w:lineRule="auto"/>
        <w:ind w:left="0"/>
        <w:jc w:val="left"/>
      </w:pPr>
      <w:r>
        <w:rPr>
          <w:rFonts w:ascii="Arial" w:hAnsi="Arial" w:eastAsia="等线" w:cs="Arial"/>
          <w:b/>
          <w:sz w:val="22"/>
        </w:rPr>
        <w:t>优化公共服务资源配置</w:t>
      </w:r>
      <w:r>
        <w:rPr>
          <w:rFonts w:ascii="Arial" w:hAnsi="Arial" w:eastAsia="等线" w:cs="Arial"/>
          <w:sz w:val="22"/>
        </w:rPr>
        <w:t>：顺应区域人口结构老龄化趋势，调整公共服务功能布局，将闲置、低效的青少年服务空间，转型为刚需迫切的养老服务空间，推动公共服务资源从“供需错配”向“精准适配”转变，提升区域公共服务均等化水平。</w:t>
      </w:r>
    </w:p>
    <w:p w14:paraId="598E4FC1">
      <w:pPr>
        <w:spacing w:before="300" w:after="120" w:line="288" w:lineRule="auto"/>
        <w:ind w:left="0"/>
        <w:jc w:val="left"/>
        <w:outlineLvl w:val="2"/>
      </w:pPr>
      <w:bookmarkStart w:id="6" w:name="heading_6"/>
      <w:r>
        <w:rPr>
          <w:rFonts w:ascii="Arial" w:hAnsi="Arial" w:eastAsia="等线" w:cs="Arial"/>
          <w:b/>
          <w:sz w:val="30"/>
        </w:rPr>
        <w:t>（二）可行性</w:t>
      </w:r>
      <w:bookmarkEnd w:id="6"/>
    </w:p>
    <w:p w14:paraId="03F56AD8">
      <w:pPr>
        <w:numPr>
          <w:ilvl w:val="0"/>
          <w:numId w:val="5"/>
        </w:numPr>
        <w:spacing w:before="120" w:after="120" w:line="288" w:lineRule="auto"/>
        <w:ind w:left="0"/>
        <w:jc w:val="left"/>
      </w:pPr>
      <w:r>
        <w:rPr>
          <w:rFonts w:ascii="Arial" w:hAnsi="Arial" w:eastAsia="等线" w:cs="Arial"/>
          <w:b/>
          <w:sz w:val="22"/>
        </w:rPr>
        <w:t>建筑条件可行</w:t>
      </w:r>
      <w:r>
        <w:rPr>
          <w:rFonts w:ascii="Arial" w:hAnsi="Arial" w:eastAsia="等线" w:cs="Arial"/>
          <w:sz w:val="22"/>
        </w:rPr>
        <w:t>：原有三层建筑结构稳定，空间开阔、布局规整，便于进行适老化功能分区改造，无需大规模结构拆改，改造难度小、施工周期短、改造成本可控。</w:t>
      </w:r>
    </w:p>
    <w:p w14:paraId="48760DFD">
      <w:pPr>
        <w:numPr>
          <w:ilvl w:val="0"/>
          <w:numId w:val="6"/>
        </w:numPr>
        <w:spacing w:before="120" w:after="120" w:line="288" w:lineRule="auto"/>
        <w:ind w:left="0"/>
        <w:jc w:val="left"/>
      </w:pPr>
      <w:r>
        <w:rPr>
          <w:rFonts w:ascii="Arial" w:hAnsi="Arial" w:eastAsia="等线" w:cs="Arial"/>
          <w:b/>
          <w:sz w:val="22"/>
        </w:rPr>
        <w:t>区位条件优越</w:t>
      </w:r>
      <w:r>
        <w:rPr>
          <w:rFonts w:ascii="Arial" w:hAnsi="Arial" w:eastAsia="等线" w:cs="Arial"/>
          <w:sz w:val="22"/>
        </w:rPr>
        <w:t>：项目位于主城核心区，交通便捷、周边社区配套完善，老年群体出行便利，可有效覆盖周边大量老年人口，养老服务辐射能力强。</w:t>
      </w:r>
    </w:p>
    <w:p w14:paraId="2734FC2E">
      <w:pPr>
        <w:numPr>
          <w:ilvl w:val="0"/>
          <w:numId w:val="7"/>
        </w:numPr>
        <w:spacing w:before="120" w:after="120" w:line="288" w:lineRule="auto"/>
        <w:ind w:left="0"/>
        <w:jc w:val="left"/>
      </w:pPr>
      <w:r>
        <w:rPr>
          <w:rFonts w:ascii="Arial" w:hAnsi="Arial" w:eastAsia="等线" w:cs="Arial"/>
          <w:b/>
          <w:sz w:val="22"/>
        </w:rPr>
        <w:t>政策支撑有力</w:t>
      </w:r>
      <w:r>
        <w:rPr>
          <w:rFonts w:ascii="Arial" w:hAnsi="Arial" w:eastAsia="等线" w:cs="Arial"/>
          <w:sz w:val="22"/>
        </w:rPr>
        <w:t>：当前国家及省市大力推进居家社区养老服务设施建设、城市更新存量资源改造、智慧养老发展，旧公共服务设施改造养老服务项目符合多项政策导向，可获得政策及资金支持。</w:t>
      </w:r>
    </w:p>
    <w:p w14:paraId="4DCDA989">
      <w:pPr>
        <w:numPr>
          <w:ilvl w:val="0"/>
          <w:numId w:val="8"/>
        </w:numPr>
        <w:spacing w:before="120" w:after="120" w:line="288" w:lineRule="auto"/>
        <w:ind w:left="0"/>
        <w:jc w:val="left"/>
      </w:pPr>
      <w:r>
        <w:rPr>
          <w:rFonts w:ascii="Arial" w:hAnsi="Arial" w:eastAsia="等线" w:cs="Arial"/>
          <w:b/>
          <w:sz w:val="22"/>
        </w:rPr>
        <w:t>需求基础扎实</w:t>
      </w:r>
      <w:r>
        <w:rPr>
          <w:rFonts w:ascii="Arial" w:hAnsi="Arial" w:eastAsia="等线" w:cs="Arial"/>
          <w:sz w:val="22"/>
        </w:rPr>
        <w:t>：区域老年人口基数大、养老服务需求旺盛，老年群体对安全舒适的活动空间、健康监测、智能便捷服务需求迫切，项目改造后具备极强的实用性和群众基础。</w:t>
      </w:r>
    </w:p>
    <w:p w14:paraId="37440249">
      <w:pPr>
        <w:spacing w:before="320" w:after="120" w:line="288" w:lineRule="auto"/>
        <w:ind w:left="0"/>
        <w:jc w:val="left"/>
        <w:outlineLvl w:val="1"/>
      </w:pPr>
      <w:bookmarkStart w:id="7" w:name="heading_7"/>
      <w:r>
        <w:rPr>
          <w:rFonts w:ascii="Arial" w:hAnsi="Arial" w:eastAsia="等线" w:cs="Arial"/>
          <w:b/>
          <w:sz w:val="32"/>
        </w:rPr>
        <w:t>三、旧项目改造利用核心内容</w:t>
      </w:r>
      <w:bookmarkEnd w:id="7"/>
    </w:p>
    <w:p w14:paraId="760994BE">
      <w:pPr>
        <w:spacing w:before="300" w:after="120" w:line="288" w:lineRule="auto"/>
        <w:ind w:left="0"/>
        <w:jc w:val="left"/>
        <w:outlineLvl w:val="2"/>
      </w:pPr>
      <w:bookmarkStart w:id="8" w:name="heading_8"/>
      <w:r>
        <w:rPr>
          <w:rFonts w:ascii="Arial" w:hAnsi="Arial" w:eastAsia="等线" w:cs="Arial"/>
          <w:b/>
          <w:sz w:val="30"/>
        </w:rPr>
        <w:t>（一）空间功能优化改造</w:t>
      </w:r>
      <w:bookmarkEnd w:id="8"/>
    </w:p>
    <w:p w14:paraId="1F1CE995">
      <w:pPr>
        <w:spacing w:before="120" w:after="120" w:line="288" w:lineRule="auto"/>
        <w:ind w:left="0"/>
        <w:jc w:val="left"/>
      </w:pPr>
      <w:r>
        <w:rPr>
          <w:rFonts w:ascii="Arial" w:hAnsi="Arial" w:eastAsia="等线" w:cs="Arial"/>
          <w:sz w:val="22"/>
        </w:rPr>
        <w:t>依托原有三层建筑，保留主体结构，对内部空间重新规划布局，拆除非承重隔断，按照老年群体活动需求，划分老年活动室、休闲娱乐区、健康监测室、康复理疗区、阅览区、多功能服务厅、无障碍卫生间等功能区域，打造分层分类、便捷高效的养老服务空间，取消原有青少年专属功能布局，全面适配老年群体活动、服务需求。</w:t>
      </w:r>
    </w:p>
    <w:p w14:paraId="3AFF6003">
      <w:pPr>
        <w:spacing w:before="300" w:after="120" w:line="288" w:lineRule="auto"/>
        <w:ind w:left="0"/>
        <w:jc w:val="left"/>
        <w:outlineLvl w:val="2"/>
      </w:pPr>
      <w:bookmarkStart w:id="9" w:name="heading_9"/>
      <w:r>
        <w:rPr>
          <w:rFonts w:ascii="Arial" w:hAnsi="Arial" w:eastAsia="等线" w:cs="Arial"/>
          <w:b/>
          <w:sz w:val="30"/>
        </w:rPr>
        <w:t>（二）适老化设施改造</w:t>
      </w:r>
      <w:bookmarkEnd w:id="9"/>
    </w:p>
    <w:p w14:paraId="38D2B43C">
      <w:pPr>
        <w:numPr>
          <w:ilvl w:val="0"/>
          <w:numId w:val="9"/>
        </w:numPr>
        <w:spacing w:before="120" w:after="120" w:line="288" w:lineRule="auto"/>
        <w:ind w:left="0"/>
        <w:jc w:val="left"/>
      </w:pPr>
      <w:r>
        <w:rPr>
          <w:rFonts w:ascii="Arial" w:hAnsi="Arial" w:eastAsia="等线" w:cs="Arial"/>
          <w:b/>
          <w:sz w:val="22"/>
        </w:rPr>
        <w:t>通行无障碍改造</w:t>
      </w:r>
      <w:r>
        <w:rPr>
          <w:rFonts w:ascii="Arial" w:hAnsi="Arial" w:eastAsia="等线" w:cs="Arial"/>
          <w:sz w:val="22"/>
        </w:rPr>
        <w:t>：改造建筑出入口，增设无障碍坡道，取消台阶高差；优化楼梯设计，加装扶手，踏步设置防滑条；公共区域拓宽通行宽度，满足轮椅、助行器通行需求。</w:t>
      </w:r>
    </w:p>
    <w:p w14:paraId="1260AE54">
      <w:pPr>
        <w:numPr>
          <w:ilvl w:val="0"/>
          <w:numId w:val="10"/>
        </w:numPr>
        <w:spacing w:before="120" w:after="120" w:line="288" w:lineRule="auto"/>
        <w:ind w:left="0"/>
        <w:jc w:val="left"/>
      </w:pPr>
      <w:r>
        <w:rPr>
          <w:rFonts w:ascii="Arial" w:hAnsi="Arial" w:eastAsia="等线" w:cs="Arial"/>
          <w:b/>
          <w:sz w:val="22"/>
        </w:rPr>
        <w:t>防滑安全改造</w:t>
      </w:r>
      <w:r>
        <w:rPr>
          <w:rFonts w:ascii="Arial" w:hAnsi="Arial" w:eastAsia="等线" w:cs="Arial"/>
          <w:sz w:val="22"/>
        </w:rPr>
        <w:t>：严格按照《建筑地面工程防滑技术规程》JGJ/T331标准，分级实施地面防滑处理：建筑出入口、公共走廊、电梯门厅、卫生间等区域，采用防滑仿古砖、通体防滑地砖，防滑等级达到Bd、Bw级；室内外老年活动场所、坡道、楼梯踏步，采用防滑橡胶地板、防滑石材、防滑耐磨地坪，防滑等级达到Ad、Aw级，楼梯踏步同步加装嵌入式金属防滑条，全方位保障老年出行安全。</w:t>
      </w:r>
    </w:p>
    <w:p w14:paraId="27EB40D4">
      <w:pPr>
        <w:numPr>
          <w:ilvl w:val="0"/>
          <w:numId w:val="11"/>
        </w:numPr>
        <w:spacing w:before="120" w:after="120" w:line="288" w:lineRule="auto"/>
        <w:ind w:left="0"/>
        <w:jc w:val="left"/>
      </w:pPr>
      <w:r>
        <w:rPr>
          <w:rFonts w:ascii="Arial" w:hAnsi="Arial" w:eastAsia="等线" w:cs="Arial"/>
          <w:b/>
          <w:sz w:val="22"/>
        </w:rPr>
        <w:t>生活适老改造</w:t>
      </w:r>
      <w:r>
        <w:rPr>
          <w:rFonts w:ascii="Arial" w:hAnsi="Arial" w:eastAsia="等线" w:cs="Arial"/>
          <w:sz w:val="22"/>
        </w:rPr>
        <w:t>：各楼层设置老年专用无障碍卫生间，配备扶手、紧急呼叫按钮、适老洁具；公共区域座椅优化，增设休息座椅；灯光系统升级，采用柔和无眩光照明，避免老年群体视觉不适。</w:t>
      </w:r>
    </w:p>
    <w:p w14:paraId="615903FE">
      <w:pPr>
        <w:spacing w:before="300" w:after="120" w:line="288" w:lineRule="auto"/>
        <w:ind w:left="0"/>
        <w:jc w:val="left"/>
        <w:outlineLvl w:val="2"/>
      </w:pPr>
      <w:bookmarkStart w:id="10" w:name="heading_10"/>
      <w:r>
        <w:rPr>
          <w:rFonts w:ascii="Arial" w:hAnsi="Arial" w:eastAsia="等线" w:cs="Arial"/>
          <w:b/>
          <w:sz w:val="30"/>
        </w:rPr>
        <w:t>（三）智慧化升级改造</w:t>
      </w:r>
      <w:bookmarkEnd w:id="10"/>
    </w:p>
    <w:p w14:paraId="6D7E705A">
      <w:pPr>
        <w:spacing w:before="120" w:after="120" w:line="288" w:lineRule="auto"/>
        <w:ind w:left="0"/>
        <w:jc w:val="left"/>
      </w:pPr>
      <w:r>
        <w:rPr>
          <w:rFonts w:ascii="Arial" w:hAnsi="Arial" w:eastAsia="等线" w:cs="Arial"/>
          <w:sz w:val="22"/>
        </w:rPr>
        <w:t>构建全域智慧养老管控系统，融入5G、物联网、AI算法、毫米波雷达等技术，打造无感式、便捷化智慧服务体系：部署毫米波雷达无感跌倒监测、智能安防、紧急呼叫联动系统；搭建智慧能源智控平台，联动光伏、储能、新风、照明设备，实现能耗智能调控；设置声控中控、智能预约、健康监测终端，为老年群体提供便捷智能服务，实现安全防护、健康管理、设施管控一体化智慧运营。</w:t>
      </w:r>
    </w:p>
    <w:p w14:paraId="544CAB03">
      <w:pPr>
        <w:spacing w:before="300" w:after="120" w:line="288" w:lineRule="auto"/>
        <w:ind w:left="0"/>
        <w:jc w:val="left"/>
        <w:outlineLvl w:val="2"/>
      </w:pPr>
      <w:bookmarkStart w:id="11" w:name="heading_11"/>
      <w:r>
        <w:rPr>
          <w:rFonts w:ascii="Arial" w:hAnsi="Arial" w:eastAsia="等线" w:cs="Arial"/>
          <w:b/>
          <w:sz w:val="30"/>
        </w:rPr>
        <w:t>（四）低碳节能改造</w:t>
      </w:r>
      <w:bookmarkEnd w:id="11"/>
    </w:p>
    <w:p w14:paraId="7EB4727F">
      <w:pPr>
        <w:spacing w:before="120" w:after="120" w:line="288" w:lineRule="auto"/>
        <w:ind w:left="0"/>
        <w:jc w:val="left"/>
      </w:pPr>
      <w:r>
        <w:rPr>
          <w:rFonts w:ascii="Arial" w:hAnsi="Arial" w:eastAsia="等线" w:cs="Arial"/>
          <w:sz w:val="22"/>
        </w:rPr>
        <w:t>对原有高能耗设施进行升级，外墙增设保温层、更换Low-E节能门窗，屋顶加装光伏BIPV系统；引入地源热泵、智能新风系统，通过人体感应+光照自适应控制，实现空调节能40%+、照明节能50%+；配套节水器具，实现节水25%，全面打造低碳节能型智慧养老活动中心。</w:t>
      </w:r>
    </w:p>
    <w:p w14:paraId="4417E05E">
      <w:pPr>
        <w:spacing w:before="320" w:after="120" w:line="288" w:lineRule="auto"/>
        <w:ind w:left="0"/>
        <w:jc w:val="left"/>
        <w:outlineLvl w:val="1"/>
      </w:pPr>
      <w:bookmarkStart w:id="12" w:name="heading_12"/>
      <w:r>
        <w:rPr>
          <w:rFonts w:ascii="Arial" w:hAnsi="Arial" w:eastAsia="等线" w:cs="Arial"/>
          <w:b/>
          <w:sz w:val="32"/>
        </w:rPr>
        <w:t>四、项目改造利用效益分析</w:t>
      </w:r>
      <w:bookmarkEnd w:id="12"/>
    </w:p>
    <w:p w14:paraId="3371C89C">
      <w:pPr>
        <w:spacing w:before="300" w:after="120" w:line="288" w:lineRule="auto"/>
        <w:ind w:left="0"/>
        <w:jc w:val="left"/>
        <w:outlineLvl w:val="2"/>
      </w:pPr>
      <w:bookmarkStart w:id="13" w:name="heading_13"/>
      <w:r>
        <w:rPr>
          <w:rFonts w:ascii="Arial" w:hAnsi="Arial" w:eastAsia="等线" w:cs="Arial"/>
          <w:b/>
          <w:sz w:val="30"/>
        </w:rPr>
        <w:t>（一）社会效益</w:t>
      </w:r>
      <w:bookmarkEnd w:id="13"/>
    </w:p>
    <w:p w14:paraId="0114443E">
      <w:pPr>
        <w:numPr>
          <w:ilvl w:val="0"/>
          <w:numId w:val="12"/>
        </w:numPr>
        <w:spacing w:before="120" w:after="120" w:line="288" w:lineRule="auto"/>
        <w:ind w:left="0"/>
        <w:jc w:val="left"/>
      </w:pPr>
      <w:r>
        <w:rPr>
          <w:rFonts w:ascii="Arial" w:hAnsi="Arial" w:eastAsia="等线" w:cs="Arial"/>
          <w:sz w:val="22"/>
        </w:rPr>
        <w:t>有效满足区域老年群体养老服务需求，提升老年群体生活幸福感、安全感，完善居家社区养老服务体系，促进老年友好型社会建设。</w:t>
      </w:r>
    </w:p>
    <w:p w14:paraId="6A9E7A24">
      <w:pPr>
        <w:numPr>
          <w:ilvl w:val="0"/>
          <w:numId w:val="13"/>
        </w:numPr>
        <w:spacing w:before="120" w:after="120" w:line="288" w:lineRule="auto"/>
        <w:ind w:left="0"/>
        <w:jc w:val="left"/>
      </w:pPr>
      <w:r>
        <w:rPr>
          <w:rFonts w:ascii="Arial" w:hAnsi="Arial" w:eastAsia="等线" w:cs="Arial"/>
          <w:sz w:val="22"/>
        </w:rPr>
        <w:t>盘活公共服务存量资源，优化区域公共服务布局，推动公共服务资源普惠化、精准化供给，助力城市更新与民生服务提质。</w:t>
      </w:r>
    </w:p>
    <w:p w14:paraId="2495FD68">
      <w:pPr>
        <w:numPr>
          <w:ilvl w:val="0"/>
          <w:numId w:val="14"/>
        </w:numPr>
        <w:spacing w:before="120" w:after="120" w:line="288" w:lineRule="auto"/>
        <w:ind w:left="0"/>
        <w:jc w:val="left"/>
      </w:pPr>
      <w:r>
        <w:rPr>
          <w:rFonts w:ascii="Arial" w:hAnsi="Arial" w:eastAsia="等线" w:cs="Arial"/>
          <w:sz w:val="22"/>
        </w:rPr>
        <w:t>打造旧公共设施改造养老服务示范项目，为全市同类存量建筑转型利用提供可复制、可推广的经验，引领区域养老服务高质量发展。</w:t>
      </w:r>
    </w:p>
    <w:p w14:paraId="08222BE9">
      <w:pPr>
        <w:spacing w:before="300" w:after="120" w:line="288" w:lineRule="auto"/>
        <w:ind w:left="0"/>
        <w:jc w:val="left"/>
        <w:outlineLvl w:val="2"/>
      </w:pPr>
      <w:bookmarkStart w:id="14" w:name="heading_14"/>
      <w:r>
        <w:rPr>
          <w:rFonts w:ascii="Arial" w:hAnsi="Arial" w:eastAsia="等线" w:cs="Arial"/>
          <w:b/>
          <w:sz w:val="30"/>
        </w:rPr>
        <w:t>（二）经济效益</w:t>
      </w:r>
      <w:bookmarkEnd w:id="14"/>
    </w:p>
    <w:p w14:paraId="0501817F">
      <w:pPr>
        <w:numPr>
          <w:ilvl w:val="0"/>
          <w:numId w:val="15"/>
        </w:numPr>
        <w:spacing w:before="120" w:after="120" w:line="288" w:lineRule="auto"/>
        <w:ind w:left="0"/>
        <w:jc w:val="left"/>
      </w:pPr>
      <w:r>
        <w:rPr>
          <w:rFonts w:ascii="Arial" w:hAnsi="Arial" w:eastAsia="等线" w:cs="Arial"/>
          <w:sz w:val="22"/>
        </w:rPr>
        <w:t>相较于新建养老设施，节约土地成本、建筑施工成本及前期审批成本，大幅降低项目总投资，资金投入效率更高。</w:t>
      </w:r>
    </w:p>
    <w:p w14:paraId="4C51616E">
      <w:pPr>
        <w:numPr>
          <w:ilvl w:val="0"/>
          <w:numId w:val="16"/>
        </w:numPr>
        <w:spacing w:before="120" w:after="120" w:line="288" w:lineRule="auto"/>
        <w:ind w:left="0"/>
        <w:jc w:val="left"/>
      </w:pPr>
      <w:r>
        <w:rPr>
          <w:rFonts w:ascii="Arial" w:hAnsi="Arial" w:eastAsia="等线" w:cs="Arial"/>
          <w:sz w:val="22"/>
        </w:rPr>
        <w:t>通过智慧节能改造，年可节电18万kWh，运维成本降低35%，全生命周期可节约运营成本400万元以上，增量投资3年即可回收，经济效益显著。</w:t>
      </w:r>
    </w:p>
    <w:p w14:paraId="1A25214E">
      <w:pPr>
        <w:numPr>
          <w:ilvl w:val="0"/>
          <w:numId w:val="17"/>
        </w:numPr>
        <w:spacing w:before="120" w:after="120" w:line="288" w:lineRule="auto"/>
        <w:ind w:left="0"/>
        <w:jc w:val="left"/>
      </w:pPr>
      <w:r>
        <w:rPr>
          <w:rFonts w:ascii="Arial" w:hAnsi="Arial" w:eastAsia="等线" w:cs="Arial"/>
          <w:sz w:val="22"/>
        </w:rPr>
        <w:t>减少建材采购、建筑垃圾处理等费用，降低施工期间资源消耗，实现低成本、高效率的公共服务设施升级。</w:t>
      </w:r>
    </w:p>
    <w:p w14:paraId="4CB50288">
      <w:pPr>
        <w:spacing w:before="300" w:after="120" w:line="288" w:lineRule="auto"/>
        <w:ind w:left="0"/>
        <w:jc w:val="left"/>
        <w:outlineLvl w:val="2"/>
      </w:pPr>
      <w:bookmarkStart w:id="15" w:name="heading_15"/>
      <w:r>
        <w:rPr>
          <w:rFonts w:ascii="Arial" w:hAnsi="Arial" w:eastAsia="等线" w:cs="Arial"/>
          <w:b/>
          <w:sz w:val="30"/>
        </w:rPr>
        <w:t>（三）生态效益</w:t>
      </w:r>
      <w:bookmarkEnd w:id="15"/>
    </w:p>
    <w:p w14:paraId="660D1B67">
      <w:pPr>
        <w:spacing w:before="120" w:after="120" w:line="288" w:lineRule="auto"/>
        <w:ind w:left="0"/>
        <w:jc w:val="left"/>
      </w:pPr>
      <w:r>
        <w:rPr>
          <w:rFonts w:ascii="Arial" w:hAnsi="Arial" w:eastAsia="等线" w:cs="Arial"/>
          <w:sz w:val="22"/>
        </w:rPr>
        <w:t>旧建筑改造避免了新建建筑带来的建材开采、施工扬尘、建筑垃圾排放等环境问题，同步实施可再生能源利用、节能节水改造，年可替代市电30%，减碳95吨，践行绿色低碳发展理念，实现生态效益与民生效益协同发展。</w:t>
      </w:r>
    </w:p>
    <w:p w14:paraId="36EB0574">
      <w:pPr>
        <w:spacing w:before="320" w:after="120" w:line="288" w:lineRule="auto"/>
        <w:ind w:left="0"/>
        <w:jc w:val="left"/>
        <w:outlineLvl w:val="1"/>
      </w:pPr>
      <w:bookmarkStart w:id="16" w:name="heading_16"/>
      <w:r>
        <w:rPr>
          <w:rFonts w:ascii="Arial" w:hAnsi="Arial" w:eastAsia="等线" w:cs="Arial"/>
          <w:b/>
          <w:sz w:val="32"/>
        </w:rPr>
        <w:t>五、结论</w:t>
      </w:r>
      <w:bookmarkEnd w:id="16"/>
    </w:p>
    <w:p w14:paraId="468D4BF9">
      <w:pPr>
        <w:spacing w:before="120" w:after="120" w:line="288" w:lineRule="auto"/>
        <w:ind w:left="0"/>
        <w:jc w:val="left"/>
      </w:pPr>
      <w:r>
        <w:rPr>
          <w:rFonts w:ascii="Arial" w:hAnsi="Arial" w:eastAsia="等线" w:cs="Arial"/>
          <w:sz w:val="22"/>
        </w:rPr>
        <w:t>本次盘龙区青少年活动中心旧项目利用改造智慧养老活动中心项目，是盘活存量公共服务资源、补齐区域养老服务短板、践行低碳绿色发展的重要举措。项目依托既有建筑实施改造，无需新增建设用地，改造难度小、投资成本低、见效速度快，既解决了原有建筑功能错配、设施老化问题，又精准契合区域老年群体刚需，社会效益、经济效益、生态效益兼具。</w:t>
      </w:r>
    </w:p>
    <w:p w14:paraId="5D877AC7">
      <w:pPr>
        <w:spacing w:before="120" w:after="120" w:line="288" w:lineRule="auto"/>
        <w:ind w:left="0"/>
        <w:jc w:val="left"/>
      </w:pPr>
      <w:r>
        <w:rPr>
          <w:rFonts w:ascii="Arial" w:hAnsi="Arial" w:eastAsia="等线" w:cs="Arial"/>
          <w:sz w:val="22"/>
        </w:rPr>
        <w:t>项目改造方案科学可行，适老化、智慧化、低碳化改造内容贴合老年群体需求，符合国家及省市养老服务发展、城市更新、低碳建设相关政策要求，具备极强的实施必要性和可行性。项目建成后，将成为区域智慧养老服务标杆项目，切实提升老年群体生活品质，推动盘龙区养老服务事业高质量发展，建议尽快推进项目实施。</w:t>
      </w:r>
    </w:p>
    <w:p w14:paraId="51444CA3">
      <w:pPr>
        <w:spacing w:before="120" w:after="120" w:line="288" w:lineRule="auto"/>
        <w:ind w:left="0"/>
        <w:jc w:val="left"/>
      </w:pPr>
      <w:bookmarkStart w:id="17" w:name="_GoBack"/>
      <w:bookmarkEnd w:id="17"/>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CE79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92A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2"/>
      <w:numFmt w:val="decimal"/>
      <w:lvlText w:val="%1."/>
      <w:lvlJc w:val="left"/>
      <w:rPr>
        <w:color w:val="3370FF"/>
      </w:rPr>
    </w:lvl>
  </w:abstractNum>
  <w:abstractNum w:abstractNumId="1">
    <w:nsid w:val="B5E306ED"/>
    <w:multiLevelType w:val="singleLevel"/>
    <w:tmpl w:val="B5E306ED"/>
    <w:lvl w:ilvl="0" w:tentative="0">
      <w:start w:val="1"/>
      <w:numFmt w:val="decimal"/>
      <w:lvlText w:val="%1."/>
      <w:lvlJc w:val="left"/>
      <w:rPr>
        <w:color w:val="3370FF"/>
      </w:rPr>
    </w:lvl>
  </w:abstractNum>
  <w:abstractNum w:abstractNumId="2">
    <w:nsid w:val="BF205925"/>
    <w:multiLevelType w:val="singleLevel"/>
    <w:tmpl w:val="BF205925"/>
    <w:lvl w:ilvl="0" w:tentative="0">
      <w:start w:val="4"/>
      <w:numFmt w:val="decimal"/>
      <w:lvlText w:val="%1."/>
      <w:lvlJc w:val="left"/>
      <w:rPr>
        <w:color w:val="3370FF"/>
      </w:rPr>
    </w:lvl>
  </w:abstractNum>
  <w:abstractNum w:abstractNumId="3">
    <w:nsid w:val="C8879AEF"/>
    <w:multiLevelType w:val="singleLevel"/>
    <w:tmpl w:val="C8879AEF"/>
    <w:lvl w:ilvl="0" w:tentative="0">
      <w:start w:val="2"/>
      <w:numFmt w:val="decimal"/>
      <w:lvlText w:val="%1."/>
      <w:lvlJc w:val="left"/>
      <w:rPr>
        <w:color w:val="3370FF"/>
      </w:rPr>
    </w:lvl>
  </w:abstractNum>
  <w:abstractNum w:abstractNumId="4">
    <w:nsid w:val="CF092B84"/>
    <w:multiLevelType w:val="singleLevel"/>
    <w:tmpl w:val="CF092B84"/>
    <w:lvl w:ilvl="0" w:tentative="0">
      <w:start w:val="2"/>
      <w:numFmt w:val="decimal"/>
      <w:lvlText w:val="%1."/>
      <w:lvlJc w:val="left"/>
      <w:rPr>
        <w:color w:val="3370FF"/>
      </w:rPr>
    </w:lvl>
  </w:abstractNum>
  <w:abstractNum w:abstractNumId="5">
    <w:nsid w:val="DCBA6B53"/>
    <w:multiLevelType w:val="singleLevel"/>
    <w:tmpl w:val="DCBA6B53"/>
    <w:lvl w:ilvl="0" w:tentative="0">
      <w:start w:val="3"/>
      <w:numFmt w:val="decimal"/>
      <w:lvlText w:val="%1."/>
      <w:lvlJc w:val="left"/>
      <w:rPr>
        <w:color w:val="3370FF"/>
      </w:rPr>
    </w:lvl>
  </w:abstractNum>
  <w:abstractNum w:abstractNumId="6">
    <w:nsid w:val="F4B5D9F5"/>
    <w:multiLevelType w:val="singleLevel"/>
    <w:tmpl w:val="F4B5D9F5"/>
    <w:lvl w:ilvl="0" w:tentative="0">
      <w:start w:val="1"/>
      <w:numFmt w:val="decimal"/>
      <w:lvlText w:val="%1."/>
      <w:lvlJc w:val="left"/>
      <w:rPr>
        <w:color w:val="3370FF"/>
      </w:rPr>
    </w:lvl>
  </w:abstractNum>
  <w:abstractNum w:abstractNumId="7">
    <w:nsid w:val="0053208E"/>
    <w:multiLevelType w:val="singleLevel"/>
    <w:tmpl w:val="0053208E"/>
    <w:lvl w:ilvl="0" w:tentative="0">
      <w:start w:val="1"/>
      <w:numFmt w:val="decimal"/>
      <w:lvlText w:val="%1."/>
      <w:lvlJc w:val="left"/>
      <w:rPr>
        <w:color w:val="3370FF"/>
      </w:rPr>
    </w:lvl>
  </w:abstractNum>
  <w:abstractNum w:abstractNumId="8">
    <w:nsid w:val="0248C179"/>
    <w:multiLevelType w:val="singleLevel"/>
    <w:tmpl w:val="0248C179"/>
    <w:lvl w:ilvl="0" w:tentative="0">
      <w:start w:val="1"/>
      <w:numFmt w:val="decimal"/>
      <w:lvlText w:val="%1."/>
      <w:lvlJc w:val="left"/>
      <w:rPr>
        <w:color w:val="3370FF"/>
      </w:rPr>
    </w:lvl>
  </w:abstractNum>
  <w:abstractNum w:abstractNumId="9">
    <w:nsid w:val="03D62ECE"/>
    <w:multiLevelType w:val="singleLevel"/>
    <w:tmpl w:val="03D62ECE"/>
    <w:lvl w:ilvl="0" w:tentative="0">
      <w:start w:val="2"/>
      <w:numFmt w:val="decimal"/>
      <w:lvlText w:val="%1."/>
      <w:lvlJc w:val="left"/>
      <w:rPr>
        <w:color w:val="3370FF"/>
      </w:rPr>
    </w:lvl>
  </w:abstractNum>
  <w:abstractNum w:abstractNumId="10">
    <w:nsid w:val="2470EC97"/>
    <w:multiLevelType w:val="singleLevel"/>
    <w:tmpl w:val="2470EC97"/>
    <w:lvl w:ilvl="0" w:tentative="0">
      <w:start w:val="2"/>
      <w:numFmt w:val="decimal"/>
      <w:lvlText w:val="%1."/>
      <w:lvlJc w:val="left"/>
      <w:rPr>
        <w:color w:val="3370FF"/>
      </w:rPr>
    </w:lvl>
  </w:abstractNum>
  <w:abstractNum w:abstractNumId="11">
    <w:nsid w:val="25B654F3"/>
    <w:multiLevelType w:val="singleLevel"/>
    <w:tmpl w:val="25B654F3"/>
    <w:lvl w:ilvl="0" w:tentative="0">
      <w:start w:val="3"/>
      <w:numFmt w:val="decimal"/>
      <w:lvlText w:val="%1."/>
      <w:lvlJc w:val="left"/>
      <w:rPr>
        <w:color w:val="3370FF"/>
      </w:rPr>
    </w:lvl>
  </w:abstractNum>
  <w:abstractNum w:abstractNumId="12">
    <w:nsid w:val="2A8F537B"/>
    <w:multiLevelType w:val="singleLevel"/>
    <w:tmpl w:val="2A8F537B"/>
    <w:lvl w:ilvl="0" w:tentative="0">
      <w:start w:val="3"/>
      <w:numFmt w:val="decimal"/>
      <w:lvlText w:val="%1."/>
      <w:lvlJc w:val="left"/>
      <w:rPr>
        <w:color w:val="3370FF"/>
      </w:rPr>
    </w:lvl>
  </w:abstractNum>
  <w:abstractNum w:abstractNumId="13">
    <w:nsid w:val="4D4DC07F"/>
    <w:multiLevelType w:val="singleLevel"/>
    <w:tmpl w:val="4D4DC07F"/>
    <w:lvl w:ilvl="0" w:tentative="0">
      <w:start w:val="3"/>
      <w:numFmt w:val="decimal"/>
      <w:lvlText w:val="%1."/>
      <w:lvlJc w:val="left"/>
      <w:rPr>
        <w:color w:val="3370FF"/>
      </w:rPr>
    </w:lvl>
  </w:abstractNum>
  <w:abstractNum w:abstractNumId="14">
    <w:nsid w:val="59ADCABA"/>
    <w:multiLevelType w:val="singleLevel"/>
    <w:tmpl w:val="59ADCABA"/>
    <w:lvl w:ilvl="0" w:tentative="0">
      <w:start w:val="3"/>
      <w:numFmt w:val="decimal"/>
      <w:lvlText w:val="%1."/>
      <w:lvlJc w:val="left"/>
      <w:rPr>
        <w:color w:val="3370FF"/>
      </w:rPr>
    </w:lvl>
  </w:abstractNum>
  <w:abstractNum w:abstractNumId="15">
    <w:nsid w:val="5A241D34"/>
    <w:multiLevelType w:val="singleLevel"/>
    <w:tmpl w:val="5A241D34"/>
    <w:lvl w:ilvl="0" w:tentative="0">
      <w:start w:val="1"/>
      <w:numFmt w:val="decimal"/>
      <w:lvlText w:val="%1."/>
      <w:lvlJc w:val="left"/>
      <w:rPr>
        <w:color w:val="3370FF"/>
      </w:rPr>
    </w:lvl>
  </w:abstractNum>
  <w:abstractNum w:abstractNumId="16">
    <w:nsid w:val="72183CF9"/>
    <w:multiLevelType w:val="singleLevel"/>
    <w:tmpl w:val="72183CF9"/>
    <w:lvl w:ilvl="0" w:tentative="0">
      <w:start w:val="4"/>
      <w:numFmt w:val="decimal"/>
      <w:lvlText w:val="%1."/>
      <w:lvlJc w:val="left"/>
      <w:rPr>
        <w:color w:val="3370FF"/>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561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2946</Words>
  <Characters>3000</Characters>
  <TotalTime>0</TotalTime>
  <ScaleCrop>false</ScaleCrop>
  <LinksUpToDate>false</LinksUpToDate>
  <CharactersWithSpaces>3002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2026-03-30T11:47:00Z</dcterms:created>
  <dc:creator>Apache POI</dc:creator>
  <cp:lastModifiedBy>laity</cp:lastModifiedBy>
  <dcterms:modified xsi:type="dcterms:W3CDTF">2026-03-30T11:47:53Z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eyJoZGlkIjoiNGM3ZjQ1YmM0Y2JkNWJlNjU4MWUxN2U2NzVlMDcxNDYiLCJ1c2VySWQiOiIxNDQ1NDMyMDMzIn0=</vt:lpwstr>
  </property>
  <property fmtid="{D5CDD505-2E9C-101B-9397-08002B2CF9AE}" pid="3" name="KSOProductBuildVer">
    <vt:lpwstr>2052-12.1.0.25225</vt:lpwstr>
  </property>
  <property fmtid="{D5CDD505-2E9C-101B-9397-08002B2CF9AE}" pid="4" name="ICV">
    <vt:lpwstr>1A6D1979D47D41DFAED011DF4337491A_13</vt:lpwstr>
  </property>
</Properties>
</file>