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模块方程·重构低碳——装配式绿色社区活动中心设计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王宇建筑集团有限公司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参与单位名称：赵序空间设计工作室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咨询单位名称：李筑社企业咨询（天津）有限公司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严寒和寒冷地区住宅建筑外窗传热系数降低比例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卧室分户墙和卧室分户楼板两侧房间之间的空气声隔声性能（计权标准化声压级差与交通噪声频谱修正量之和DnT,w+Ctr)≥50dB，卧室分户楼板的撞击声隔声性能（计权标准化撞击声压级L'nT,w）≤55dB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59.0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156.0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77.0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总得分：Q=（Q0+Q1+Q2+Q3+Q4+Q5+QA）/10=89.1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0193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0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70102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70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