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B8A3D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项目名称</w:t>
      </w:r>
      <w:r>
        <w:t>：</w:t>
      </w:r>
      <w:r>
        <w:rPr>
          <w:rFonts w:hint="eastAsia"/>
          <w:lang w:val="en-US" w:eastAsia="zh-CN"/>
        </w:rPr>
        <w:t>泰安师范附属学校虎山路校区</w:t>
      </w:r>
    </w:p>
    <w:p w14:paraId="09ED6C03">
      <w:pPr>
        <w:pStyle w:val="2"/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项目（小学）</w:t>
      </w:r>
    </w:p>
    <w:p w14:paraId="2FBA5E74">
      <w:pPr>
        <w:pStyle w:val="2"/>
        <w:jc w:val="center"/>
      </w:pPr>
    </w:p>
    <w:p w14:paraId="5FAC8539">
      <w:pPr>
        <w:pStyle w:val="2"/>
        <w:jc w:val="center"/>
      </w:pPr>
    </w:p>
    <w:p w14:paraId="75D74A42">
      <w:pPr>
        <w:pStyle w:val="2"/>
        <w:jc w:val="center"/>
      </w:pPr>
      <w:r>
        <w:rPr>
          <w:rFonts w:hint="eastAsia"/>
        </w:rPr>
        <w:t>人均</w:t>
      </w:r>
      <w:r>
        <w:t>公共绿地计算书</w:t>
      </w:r>
    </w:p>
    <w:p w14:paraId="3320828B">
      <w:pPr>
        <w:rPr>
          <w:kern w:val="44"/>
          <w:sz w:val="44"/>
          <w:szCs w:val="44"/>
        </w:rPr>
      </w:pPr>
      <w:r>
        <w:br w:type="page"/>
      </w:r>
    </w:p>
    <w:p w14:paraId="1B8ECE23">
      <w:pPr>
        <w:pStyle w:val="3"/>
        <w:rPr>
          <w:b w:val="0"/>
          <w:u w:val="single"/>
        </w:rPr>
      </w:pPr>
    </w:p>
    <w:p w14:paraId="0E3EE1AF">
      <w:pPr>
        <w:pStyle w:val="3"/>
      </w:pPr>
      <w:r>
        <w:rPr>
          <w:rFonts w:hint="eastAsia"/>
        </w:rPr>
        <w:t>项目概况</w:t>
      </w:r>
      <w:r>
        <w:t>：</w:t>
      </w:r>
    </w:p>
    <w:p w14:paraId="67A0715D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 xml:space="preserve">本项目为公建项目，水泰安师范附属学校虎山路校区项目（小学）项目位于山东省泰安市泰山区内,东侧紧邻次干道虎山路，北侧靠支路岱庙北街，西侧与南侧无城市道路衔接。   </w:t>
      </w:r>
    </w:p>
    <w:p w14:paraId="63612C1B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项目规划总用地面积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32900.00</w:t>
      </w:r>
      <w:r>
        <w:rPr>
          <w:rFonts w:hint="eastAsia" w:ascii="Times New Roman" w:hAnsi="Times New Roman" w:eastAsia="宋体"/>
          <w:sz w:val="24"/>
          <w:szCs w:val="24"/>
        </w:rPr>
        <w:t>平方米，总建筑面积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40697.75</w:t>
      </w:r>
      <w:r>
        <w:rPr>
          <w:rFonts w:hint="eastAsia" w:ascii="Times New Roman" w:hAnsi="Times New Roman" w:eastAsia="宋体"/>
          <w:sz w:val="24"/>
          <w:szCs w:val="24"/>
        </w:rPr>
        <w:t>平方米。容积率0.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79</w:t>
      </w:r>
      <w:r>
        <w:rPr>
          <w:rFonts w:hint="eastAsia" w:ascii="Times New Roman" w:hAnsi="Times New Roman" w:eastAsia="宋体"/>
          <w:sz w:val="24"/>
          <w:szCs w:val="24"/>
        </w:rPr>
        <w:t>；绿地率3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5.3</w:t>
      </w:r>
      <w:r>
        <w:rPr>
          <w:rFonts w:hint="eastAsia" w:ascii="Times New Roman" w:hAnsi="Times New Roman" w:eastAsia="宋体"/>
          <w:sz w:val="24"/>
          <w:szCs w:val="24"/>
        </w:rPr>
        <w:t>%；建筑密度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31.5</w:t>
      </w:r>
      <w:r>
        <w:rPr>
          <w:rFonts w:hint="eastAsia" w:ascii="Times New Roman" w:hAnsi="Times New Roman" w:eastAsia="宋体"/>
          <w:sz w:val="24"/>
          <w:szCs w:val="24"/>
        </w:rPr>
        <w:t>%。结构形式为框架结构。</w:t>
      </w:r>
    </w:p>
    <w:p w14:paraId="40DB7756">
      <w:pPr>
        <w:spacing w:line="360" w:lineRule="auto"/>
        <w:ind w:firstLine="480" w:firstLineChars="200"/>
        <w:jc w:val="center"/>
        <w:rPr>
          <w:rFonts w:hint="eastAsia" w:eastAsiaTheme="minorEastAsia"/>
          <w:sz w:val="24"/>
          <w:szCs w:val="24"/>
          <w:highlight w:val="yellow"/>
          <w:lang w:val="en-US" w:eastAsia="zh-CN"/>
        </w:rPr>
      </w:pPr>
      <w:r>
        <w:rPr>
          <w:rFonts w:hint="eastAsia" w:eastAsiaTheme="minorEastAsia"/>
          <w:sz w:val="24"/>
          <w:szCs w:val="24"/>
          <w:highlight w:val="yellow"/>
          <w:lang w:val="en-US" w:eastAsia="zh-CN"/>
        </w:rPr>
        <w:drawing>
          <wp:inline distT="0" distB="0" distL="114300" distR="114300">
            <wp:extent cx="5678170" cy="3653790"/>
            <wp:effectExtent l="0" t="0" r="17780" b="3810"/>
            <wp:docPr id="2" name="图片 2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鸟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5E06">
      <w:r>
        <w:rPr>
          <w:rFonts w:hint="eastAsia"/>
        </w:rPr>
        <w:t>.</w:t>
      </w:r>
    </w:p>
    <w:p w14:paraId="40535B33">
      <w:pPr>
        <w:pStyle w:val="3"/>
      </w:pPr>
      <w:r>
        <w:rPr>
          <w:rFonts w:hint="eastAsia"/>
        </w:rPr>
        <w:t>对标条文：</w:t>
      </w:r>
    </w:p>
    <w:p w14:paraId="47A33D55">
      <w:pPr>
        <w:ind w:firstLine="405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8.2.3 充分利用场地空间设置绿化用地，评价总分值为16分，并按下列规则评分：</w:t>
      </w:r>
    </w:p>
    <w:p w14:paraId="64C1F26A">
      <w:pPr>
        <w:ind w:firstLine="405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sz w:val="24"/>
          <w:szCs w:val="24"/>
          <w:shd w:val="clear" w:color="auto" w:fill="FFFFFF"/>
          <w:lang w:val="en-US" w:eastAsia="zh-CN"/>
        </w:rPr>
        <w:t xml:space="preserve">公共建筑按下列规则分别评分并累计: </w:t>
      </w:r>
    </w:p>
    <w:p w14:paraId="004C9A0E">
      <w:pPr>
        <w:ind w:firstLine="405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hint="default" w:asciiTheme="minorEastAsia" w:hAnsiTheme="minorEastAsia"/>
          <w:sz w:val="24"/>
          <w:szCs w:val="24"/>
          <w:shd w:val="clear" w:color="auto" w:fill="FFFFFF"/>
          <w:lang w:val="en-US" w:eastAsia="zh-CN"/>
        </w:rPr>
        <w:t xml:space="preserve">1)绿地率比规划指标的提高幅度达到 5% ，得 8分;达到10%，得 10分; </w:t>
      </w:r>
    </w:p>
    <w:p w14:paraId="5F1E5D23">
      <w:pPr>
        <w:ind w:firstLine="405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hint="default" w:asciiTheme="minorEastAsia" w:hAnsiTheme="minorEastAsia"/>
          <w:sz w:val="24"/>
          <w:szCs w:val="24"/>
          <w:shd w:val="clear" w:color="auto" w:fill="FFFFFF"/>
          <w:lang w:val="en-US" w:eastAsia="zh-CN"/>
        </w:rPr>
        <w:t xml:space="preserve">2)绿地向公众开放，得6分。 </w:t>
      </w:r>
    </w:p>
    <w:p w14:paraId="43C348F8">
      <w:pPr>
        <w:pStyle w:val="3"/>
      </w:pPr>
      <w:r>
        <w:rPr>
          <w:rFonts w:hint="eastAsia"/>
        </w:rPr>
        <w:t>人均集中绿地面积计算</w:t>
      </w:r>
      <w:r>
        <w:t>：</w:t>
      </w:r>
    </w:p>
    <w:p w14:paraId="7B34AB97">
      <w:pPr>
        <w:numPr>
          <w:ilvl w:val="0"/>
          <w:numId w:val="1"/>
        </w:numPr>
        <w:ind w:firstLine="405"/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绿地率的规划指标为35%，设计绿地率为35.3%，提高幅度不能得分</w:t>
      </w:r>
    </w:p>
    <w:p w14:paraId="7B60A7DC">
      <w:pPr>
        <w:numPr>
          <w:ilvl w:val="0"/>
          <w:numId w:val="1"/>
        </w:numPr>
        <w:ind w:firstLine="405"/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绿地向公众开放，得6分</w:t>
      </w:r>
    </w:p>
    <w:p w14:paraId="314A21F3">
      <w:pPr>
        <w:numPr>
          <w:numId w:val="0"/>
        </w:numPr>
        <w:ind w:left="420" w:leftChars="0"/>
        <w:rPr>
          <w:rFonts w:hint="default"/>
          <w:lang w:val="en-US" w:eastAsia="zh-CN"/>
        </w:rPr>
      </w:pPr>
    </w:p>
    <w:p w14:paraId="4CF4BD4A">
      <w:pPr>
        <w:pStyle w:val="3"/>
      </w:pPr>
      <w:r>
        <w:rPr>
          <w:rFonts w:hint="eastAsia"/>
        </w:rPr>
        <w:t>结论</w:t>
      </w:r>
      <w:r>
        <w:t>：</w:t>
      </w:r>
    </w:p>
    <w:p w14:paraId="1E5D45CB">
      <w:pPr>
        <w:numPr>
          <w:numId w:val="0"/>
        </w:numPr>
        <w:rPr>
          <w:rFonts w:hint="eastAsia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本项目满足《绿色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建筑评价标准》GB/T50378-2019 第 8.2.3条的要求，得6分。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641E3"/>
    <w:multiLevelType w:val="singleLevel"/>
    <w:tmpl w:val="1C7641E3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28F"/>
    <w:rsid w:val="004E628F"/>
    <w:rsid w:val="005456E8"/>
    <w:rsid w:val="0081682C"/>
    <w:rsid w:val="00E94094"/>
    <w:rsid w:val="00FD5F26"/>
    <w:rsid w:val="02C06492"/>
    <w:rsid w:val="180A2E6A"/>
    <w:rsid w:val="1F094E7E"/>
    <w:rsid w:val="238B7A6B"/>
    <w:rsid w:val="2DD767A3"/>
    <w:rsid w:val="410256DA"/>
    <w:rsid w:val="47945F51"/>
    <w:rsid w:val="7365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Char"/>
    <w:basedOn w:val="8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8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381</Words>
  <Characters>489</Characters>
  <Lines>3</Lines>
  <Paragraphs>1</Paragraphs>
  <TotalTime>6</TotalTime>
  <ScaleCrop>false</ScaleCrop>
  <LinksUpToDate>false</LinksUpToDate>
  <CharactersWithSpaces>517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2020-01-10T08:20:00Z</dcterms:created>
  <dc:creator>dongYP</dc:creator>
  <cp:lastModifiedBy>:D</cp:lastModifiedBy>
  <dcterms:modified xsi:type="dcterms:W3CDTF">2026-03-26T07:53:49Z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eyJoZGlkIjoiZmFjMGFiM2ZiMDU1ODBlZDBlZjc0MGExZDkyZmUwYTMiLCJ1c2VySWQiOiIxMzMzNDkxNzQ1In0=</vt:lpwstr>
  </property>
  <property fmtid="{D5CDD505-2E9C-101B-9397-08002B2CF9AE}" pid="3" name="KSOProductBuildVer">
    <vt:lpwstr>2052-12.1.0.25225</vt:lpwstr>
  </property>
  <property fmtid="{D5CDD505-2E9C-101B-9397-08002B2CF9AE}" pid="4" name="ICV">
    <vt:lpwstr>9D97BB19871547519C139CCF9E68EDA1_12</vt:lpwstr>
  </property>
</Properties>
</file>