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0D619E">
      <w:pPr>
        <w:spacing w:line="360" w:lineRule="auto"/>
        <w:jc w:val="both"/>
        <w:rPr>
          <w:rFonts w:hint="eastAsia" w:ascii="仿宋" w:hAnsi="仿宋" w:eastAsia="仿宋"/>
          <w:b/>
          <w:sz w:val="48"/>
          <w:szCs w:val="48"/>
        </w:rPr>
      </w:pPr>
    </w:p>
    <w:p w14:paraId="4C8E9BE2">
      <w:pPr>
        <w:jc w:val="both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50CCB80A">
      <w:pPr>
        <w:jc w:val="both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23754A09">
      <w:pPr>
        <w:spacing w:line="360" w:lineRule="auto"/>
        <w:jc w:val="center"/>
        <w:rPr>
          <w:rFonts w:hint="eastAsia" w:ascii="宋体" w:hAnsi="宋体" w:eastAsia="宋体" w:cs="宋体"/>
          <w:b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sz w:val="48"/>
          <w:szCs w:val="48"/>
          <w:lang w:val="en-US" w:eastAsia="zh-CN"/>
        </w:rPr>
        <w:t>本地化建筑材料使用比例计算书</w:t>
      </w:r>
    </w:p>
    <w:p w14:paraId="58D3131E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sz w:val="48"/>
          <w:szCs w:val="48"/>
          <w:lang w:val="en-US" w:eastAsia="zh-CN"/>
        </w:rPr>
        <w:t>可循环材料利用比例计算书</w:t>
      </w:r>
    </w:p>
    <w:p w14:paraId="58F6D3E3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</w:p>
    <w:p w14:paraId="555887D5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3DF8D7F2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53D8A976">
      <w:pPr>
        <w:jc w:val="both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064C5241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65918F07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79CC2F34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238AA0C9">
      <w:pPr>
        <w:jc w:val="center"/>
        <w:rPr>
          <w:rFonts w:hint="eastAsia" w:ascii="宋体" w:hAnsi="宋体" w:cs="宋体"/>
          <w:sz w:val="32"/>
          <w:szCs w:val="32"/>
          <w:lang w:val="en-US" w:eastAsia="zh-CN"/>
        </w:rPr>
      </w:pPr>
    </w:p>
    <w:p w14:paraId="5A2A4FBE">
      <w:pPr>
        <w:jc w:val="center"/>
        <w:rPr>
          <w:rFonts w:hint="eastAsia"/>
          <w:b/>
          <w:sz w:val="52"/>
          <w:szCs w:val="52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项目名称：泰安师范附属学校虎山路校区项目（小学）项目</w:t>
      </w:r>
    </w:p>
    <w:p w14:paraId="535FE92A">
      <w:pPr>
        <w:jc w:val="center"/>
        <w:rPr>
          <w:rFonts w:hint="default" w:ascii="宋体" w:hAnsi="宋体" w:cs="宋体"/>
          <w:sz w:val="32"/>
          <w:szCs w:val="32"/>
          <w:lang w:val="en-US" w:eastAsia="zh-CN"/>
        </w:rPr>
      </w:pPr>
    </w:p>
    <w:p w14:paraId="2DA3718F">
      <w:pPr>
        <w:jc w:val="center"/>
        <w:rPr>
          <w:b/>
          <w:sz w:val="32"/>
          <w:szCs w:val="32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0011A68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outlineLvl w:val="0"/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</w:pPr>
      <w:bookmarkStart w:id="0" w:name="_Toc29334"/>
      <w:r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  <w:t>项目概况</w:t>
      </w:r>
      <w:bookmarkEnd w:id="0"/>
    </w:p>
    <w:p w14:paraId="67A0715D">
      <w:pPr>
        <w:spacing w:line="360" w:lineRule="auto"/>
        <w:ind w:firstLine="480" w:firstLineChars="200"/>
        <w:jc w:val="left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 xml:space="preserve">本项目为公建项目，水泰安师范附属学校虎山路校区项目（小学）项目位于山东省泰安市泰山区内,东侧紧邻次干道虎山路，北侧靠支路岱庙北街，西侧与南侧无城市道路衔接。   </w:t>
      </w:r>
    </w:p>
    <w:p w14:paraId="63612C1B">
      <w:pPr>
        <w:spacing w:line="360" w:lineRule="auto"/>
        <w:ind w:firstLine="480" w:firstLineChars="200"/>
        <w:jc w:val="left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项目规划总用地面积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32900.00</w:t>
      </w:r>
      <w:r>
        <w:rPr>
          <w:rFonts w:hint="eastAsia" w:ascii="Times New Roman" w:hAnsi="Times New Roman" w:eastAsia="宋体"/>
          <w:sz w:val="24"/>
          <w:szCs w:val="24"/>
        </w:rPr>
        <w:t>平方米，总建筑面积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40697.75</w:t>
      </w:r>
      <w:r>
        <w:rPr>
          <w:rFonts w:hint="eastAsia" w:ascii="Times New Roman" w:hAnsi="Times New Roman" w:eastAsia="宋体"/>
          <w:sz w:val="24"/>
          <w:szCs w:val="24"/>
        </w:rPr>
        <w:t>平方米。容积率0.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79</w:t>
      </w:r>
      <w:r>
        <w:rPr>
          <w:rFonts w:hint="eastAsia" w:ascii="Times New Roman" w:hAnsi="Times New Roman" w:eastAsia="宋体"/>
          <w:sz w:val="24"/>
          <w:szCs w:val="24"/>
        </w:rPr>
        <w:t>；绿地率3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5.3</w:t>
      </w:r>
      <w:r>
        <w:rPr>
          <w:rFonts w:hint="eastAsia" w:ascii="Times New Roman" w:hAnsi="Times New Roman" w:eastAsia="宋体"/>
          <w:sz w:val="24"/>
          <w:szCs w:val="24"/>
        </w:rPr>
        <w:t>%；建筑密度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31.5</w:t>
      </w:r>
      <w:r>
        <w:rPr>
          <w:rFonts w:hint="eastAsia" w:ascii="Times New Roman" w:hAnsi="Times New Roman" w:eastAsia="宋体"/>
          <w:sz w:val="24"/>
          <w:szCs w:val="24"/>
        </w:rPr>
        <w:t>%。结构形式为框架结构。</w:t>
      </w:r>
    </w:p>
    <w:p w14:paraId="40DB7756">
      <w:pPr>
        <w:spacing w:line="360" w:lineRule="auto"/>
        <w:ind w:firstLine="480" w:firstLineChars="200"/>
        <w:jc w:val="center"/>
        <w:rPr>
          <w:rFonts w:hint="eastAsia" w:eastAsiaTheme="minorEastAsia"/>
          <w:sz w:val="24"/>
          <w:szCs w:val="24"/>
          <w:highlight w:val="yellow"/>
          <w:lang w:val="en-US" w:eastAsia="zh-CN"/>
        </w:rPr>
      </w:pPr>
      <w:r>
        <w:rPr>
          <w:rFonts w:hint="eastAsia" w:eastAsiaTheme="minorEastAsia"/>
          <w:sz w:val="24"/>
          <w:szCs w:val="24"/>
          <w:highlight w:val="yellow"/>
          <w:lang w:val="en-US" w:eastAsia="zh-CN"/>
        </w:rPr>
        <w:drawing>
          <wp:inline distT="0" distB="0" distL="114300" distR="114300">
            <wp:extent cx="5944870" cy="3825240"/>
            <wp:effectExtent l="0" t="0" r="17780" b="3810"/>
            <wp:docPr id="1" name="图片 1" descr="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鸟瞰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F8862">
      <w:pPr>
        <w:jc w:val="center"/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  <w:br w:type="page"/>
      </w:r>
    </w:p>
    <w:p w14:paraId="64A798B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outlineLvl w:val="0"/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  <w:t>评价依据</w:t>
      </w:r>
    </w:p>
    <w:p w14:paraId="5DE98D83">
      <w:pPr>
        <w:spacing w:afterLines="50" w:line="360" w:lineRule="auto"/>
        <w:ind w:firstLine="360" w:firstLineChars="15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《绿色建筑评价标准》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DB37/T 5097-2021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，其中7.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条规定：选用的建筑材料应符合下列要求：</w:t>
      </w:r>
    </w:p>
    <w:p w14:paraId="4E184C53">
      <w:pPr>
        <w:spacing w:afterLines="50" w:line="360" w:lineRule="auto"/>
        <w:ind w:firstLine="360" w:firstLineChars="15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）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500km 以内生产的建筑材料重量占建筑材料总重量的比例应大于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70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%；</w:t>
      </w:r>
    </w:p>
    <w:p w14:paraId="03B3EE5D">
      <w:pPr>
        <w:spacing w:afterLines="50" w:line="360" w:lineRule="auto"/>
        <w:ind w:firstLine="360" w:firstLineChars="150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）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现浇混凝土应采用预拌混凝土，建筑砂浆应采用预拌砂浆。。</w:t>
      </w:r>
    </w:p>
    <w:p w14:paraId="44931F5B">
      <w:pPr>
        <w:spacing w:afterLines="50" w:line="360" w:lineRule="auto"/>
        <w:ind w:firstLine="360" w:firstLineChars="15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《绿色建筑评价标准》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DB37/T 5097-2021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，其中7.2.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17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条规定：选用可再循环材料、可再利用材料及利废建材，评价总分值为 12 分，并按下列规则分别评分并累计：</w:t>
      </w:r>
    </w:p>
    <w:p w14:paraId="6D9449B1">
      <w:pPr>
        <w:spacing w:afterLines="50" w:line="360" w:lineRule="auto"/>
        <w:ind w:firstLine="360" w:firstLineChars="15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 可再循环材料和可再利用材料用量比例，按下列规则评分：</w:t>
      </w:r>
    </w:p>
    <w:p w14:paraId="0DB8CDDD">
      <w:pPr>
        <w:spacing w:afterLines="50" w:line="360" w:lineRule="auto"/>
        <w:ind w:firstLine="360" w:firstLineChars="15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1）住宅建筑达到 6%或公共建筑达到 10%，得 3 分。</w:t>
      </w:r>
    </w:p>
    <w:p w14:paraId="28C500A5">
      <w:pPr>
        <w:spacing w:afterLines="50" w:line="360" w:lineRule="auto"/>
        <w:ind w:firstLine="360" w:firstLineChars="15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2）住宅建筑达到 10%或公共建筑达到 15%，得 6 分。</w:t>
      </w:r>
    </w:p>
    <w:p w14:paraId="7AD553CB">
      <w:pPr>
        <w:spacing w:afterLines="50" w:line="360" w:lineRule="auto"/>
        <w:ind w:firstLine="360" w:firstLineChars="15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 利废建材选用及其用量比例，按下列规则评分：</w:t>
      </w:r>
    </w:p>
    <w:p w14:paraId="348882E1">
      <w:pPr>
        <w:spacing w:afterLines="50" w:line="360" w:lineRule="auto"/>
        <w:ind w:firstLine="360" w:firstLineChars="15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1）采用一种利废建材，其占同类建材的用量比例不低于 50%，得 3 分。</w:t>
      </w:r>
    </w:p>
    <w:p w14:paraId="5885C509">
      <w:pPr>
        <w:spacing w:afterLines="50" w:line="360" w:lineRule="auto"/>
        <w:ind w:firstLine="360" w:firstLineChars="15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2）选用二种及以上的利废建材，每一种占同类建材的用量比例均不低于30%，得 6 分。</w:t>
      </w:r>
    </w:p>
    <w:p w14:paraId="0FB1130B">
      <w:pPr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  <w:br w:type="page"/>
      </w:r>
    </w:p>
    <w:p w14:paraId="5003C32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outlineLvl w:val="0"/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  <w:t>计算判定</w:t>
      </w:r>
    </w:p>
    <w:p w14:paraId="33B21482">
      <w:pPr>
        <w:pStyle w:val="15"/>
        <w:spacing w:line="360" w:lineRule="auto"/>
        <w:ind w:firstLine="0" w:firstLineChars="0"/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  <w:t>教学楼</w:t>
      </w:r>
    </w:p>
    <w:tbl>
      <w:tblPr>
        <w:tblStyle w:val="10"/>
        <w:tblW w:w="5043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967"/>
        <w:gridCol w:w="967"/>
        <w:gridCol w:w="1066"/>
        <w:gridCol w:w="648"/>
        <w:gridCol w:w="852"/>
        <w:gridCol w:w="809"/>
        <w:gridCol w:w="849"/>
        <w:gridCol w:w="927"/>
        <w:gridCol w:w="1106"/>
        <w:gridCol w:w="1046"/>
      </w:tblGrid>
      <w:tr w14:paraId="3A963B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795" w:hRule="atLeast"/>
        </w:trPr>
        <w:tc>
          <w:tcPr>
            <w:tcW w:w="45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0E2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建筑材料种类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3B11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体积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ABB9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密度</w:t>
            </w:r>
          </w:p>
        </w:tc>
        <w:tc>
          <w:tcPr>
            <w:tcW w:w="524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F204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重量</w:t>
            </w:r>
          </w:p>
        </w:tc>
        <w:tc>
          <w:tcPr>
            <w:tcW w:w="318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CFD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厂家区位</w:t>
            </w:r>
          </w:p>
        </w:tc>
        <w:tc>
          <w:tcPr>
            <w:tcW w:w="419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644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运输半径（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397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743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是否为本地化材料</w:t>
            </w:r>
          </w:p>
        </w:tc>
        <w:tc>
          <w:tcPr>
            <w:tcW w:w="417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2804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是否为可循环利用材料</w:t>
            </w:r>
          </w:p>
        </w:tc>
        <w:tc>
          <w:tcPr>
            <w:tcW w:w="45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B564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可循环利用材料总重（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43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2E08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本地材料总重量（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14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9211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建筑材料总重量（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</w:tr>
      <w:tr w14:paraId="3EC52F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F9D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30F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A43B5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t/m3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BAB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AB2E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598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E03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D18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76DC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78E0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852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09130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B32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钢材</w:t>
            </w: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430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259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1E8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637.35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0E9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5A80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683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90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4B6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1090.21</w:t>
            </w:r>
          </w:p>
        </w:tc>
        <w:tc>
          <w:tcPr>
            <w:tcW w:w="543" w:type="pct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C27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14640.43</w:t>
            </w:r>
          </w:p>
        </w:tc>
        <w:tc>
          <w:tcPr>
            <w:tcW w:w="514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89E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15095.78</w:t>
            </w:r>
          </w:p>
        </w:tc>
      </w:tr>
      <w:tr w14:paraId="4E84D1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04C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30A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8B1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3E3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797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13D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8326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110FD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(钢筋)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1BA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672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D4E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F9620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A8D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铁件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F74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330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930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6.61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684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D1E3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E47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5604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3ED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10E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AD4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45D58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4880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铜材</w:t>
            </w: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EC09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DE2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D8B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18.88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AE0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798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34D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96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1F4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A0F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9CA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912A4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26A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B23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1E8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22A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6D2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1BF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D3D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E787E1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86D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C27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37C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CE798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0B9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木材</w:t>
            </w: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43C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582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3CB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353.53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04E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8CB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127C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4A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68F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524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567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C3357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E49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CB8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479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9B6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4A4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AD7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94F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E27B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（木地板、门、装修木材）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563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429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0A2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64D93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DAC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铝合金型材</w:t>
            </w: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538B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13.43 </w:t>
            </w: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D5E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</w:t>
            </w:r>
          </w:p>
        </w:tc>
        <w:tc>
          <w:tcPr>
            <w:tcW w:w="524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E7E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34.93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C9E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C0F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E2E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3FB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4DD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889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BC7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E81E2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55E5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42E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A7B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33C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918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5AC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248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2C076D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（窗框、吊顶等）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232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DAF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57B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8128D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856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玻璃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85C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10.98 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6C9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314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27.45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EA4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1553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226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2BF8A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98C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5F6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8D4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A062C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966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其他可循环材料</w:t>
            </w: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AFB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5CF3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3072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11.47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C53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000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CC0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A5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2F8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9E5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EFD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33FDF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79C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D30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68C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98D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094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2172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402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8158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（预制安装成品构件）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DC5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56B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225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9D736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AE7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混凝土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464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4782.88 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BA05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A9F0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11478.92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0C1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C6E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776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ACDF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9F9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595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007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31984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F90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建筑砂浆及抹灰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E211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BB3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907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1745.87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CC9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8A4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014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8874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836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1C2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816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E27D8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190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屋面卷材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455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B84E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2D6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5.48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B4F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CA7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3FD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D5C2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EED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E2A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7F8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76E76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6F8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石材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283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643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2DC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12.38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4B0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648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BB7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4EB2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B87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E64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767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98D69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798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砌块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DD88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131.04 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E0B7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0.55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28F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72.07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3DB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5C1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CD2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28D2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35B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E9E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8FF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6AA4A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14A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ALC条板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C4A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1032.76 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D17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0.65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64A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671.29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80C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3C4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833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8349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606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CAE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97D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CC85D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015D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保温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C5E60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6FB25D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1322E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19.55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01975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C5BD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556B4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5C525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5224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55EF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68454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4C08D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pct"/>
            <w:gridSpan w:val="8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540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可循环材料用量比例</w:t>
            </w:r>
          </w:p>
        </w:tc>
        <w:tc>
          <w:tcPr>
            <w:tcW w:w="1514" w:type="pct"/>
            <w:gridSpan w:val="3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14:paraId="506C1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7.22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</w:tr>
      <w:tr w14:paraId="64BCC6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485" w:type="pct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5D51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本地材料用量比例</w:t>
            </w:r>
          </w:p>
        </w:tc>
        <w:tc>
          <w:tcPr>
            <w:tcW w:w="151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8521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96.98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</w:tr>
    </w:tbl>
    <w:p w14:paraId="2B34A8C3">
      <w:pP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  <w:br w:type="page"/>
      </w:r>
    </w:p>
    <w:p w14:paraId="6ECE2D2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outlineLvl w:val="0"/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</w:pPr>
      <w:bookmarkStart w:id="1" w:name="_Toc12132"/>
      <w:bookmarkStart w:id="2" w:name="_Toc26332"/>
      <w:r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  <w:t>结论</w:t>
      </w:r>
    </w:p>
    <w:bookmarkEnd w:id="1"/>
    <w:bookmarkEnd w:id="2"/>
    <w:tbl>
      <w:tblPr>
        <w:tblStyle w:val="11"/>
        <w:tblpPr w:leftFromText="180" w:rightFromText="180" w:vertAnchor="text" w:horzAnchor="page" w:tblpX="1341" w:tblpY="416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8"/>
        <w:gridCol w:w="1568"/>
        <w:gridCol w:w="2179"/>
        <w:gridCol w:w="2179"/>
        <w:gridCol w:w="1528"/>
        <w:gridCol w:w="1354"/>
      </w:tblGrid>
      <w:tr w14:paraId="12B3F0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8" w:type="dxa"/>
            <w:vAlign w:val="center"/>
          </w:tcPr>
          <w:p w14:paraId="623C0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楼号</w:t>
            </w:r>
          </w:p>
        </w:tc>
        <w:tc>
          <w:tcPr>
            <w:tcW w:w="1568" w:type="dxa"/>
            <w:vAlign w:val="top"/>
          </w:tcPr>
          <w:p w14:paraId="2FF1C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可再循环材料总重量（t）</w:t>
            </w:r>
          </w:p>
        </w:tc>
        <w:tc>
          <w:tcPr>
            <w:tcW w:w="2179" w:type="dxa"/>
            <w:vAlign w:val="top"/>
          </w:tcPr>
          <w:p w14:paraId="3494B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本地材料总重量（t）</w:t>
            </w:r>
          </w:p>
        </w:tc>
        <w:tc>
          <w:tcPr>
            <w:tcW w:w="2179" w:type="dxa"/>
            <w:vAlign w:val="top"/>
          </w:tcPr>
          <w:p w14:paraId="66D60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建筑材料总重量（t）</w:t>
            </w:r>
          </w:p>
        </w:tc>
        <w:tc>
          <w:tcPr>
            <w:tcW w:w="1528" w:type="dxa"/>
            <w:vAlign w:val="top"/>
          </w:tcPr>
          <w:p w14:paraId="449F3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可再循环材料用量比例</w:t>
            </w:r>
          </w:p>
        </w:tc>
        <w:tc>
          <w:tcPr>
            <w:tcW w:w="1354" w:type="dxa"/>
            <w:vAlign w:val="top"/>
          </w:tcPr>
          <w:p w14:paraId="14C97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本地材料用量比例</w:t>
            </w:r>
          </w:p>
        </w:tc>
      </w:tr>
      <w:tr w14:paraId="6DC5C9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8" w:type="dxa"/>
            <w:vAlign w:val="center"/>
          </w:tcPr>
          <w:p w14:paraId="2AE1C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教学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楼</w:t>
            </w:r>
          </w:p>
        </w:tc>
        <w:tc>
          <w:tcPr>
            <w:tcW w:w="1568" w:type="dxa"/>
            <w:vAlign w:val="center"/>
          </w:tcPr>
          <w:p w14:paraId="42152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1090.21 </w:t>
            </w:r>
          </w:p>
        </w:tc>
        <w:tc>
          <w:tcPr>
            <w:tcW w:w="2179" w:type="dxa"/>
            <w:vAlign w:val="center"/>
          </w:tcPr>
          <w:p w14:paraId="39A75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14640.43 </w:t>
            </w:r>
          </w:p>
        </w:tc>
        <w:tc>
          <w:tcPr>
            <w:tcW w:w="2179" w:type="dxa"/>
            <w:vAlign w:val="center"/>
          </w:tcPr>
          <w:p w14:paraId="39D1C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15095.78 </w:t>
            </w:r>
          </w:p>
        </w:tc>
        <w:tc>
          <w:tcPr>
            <w:tcW w:w="1528" w:type="dxa"/>
            <w:vAlign w:val="center"/>
          </w:tcPr>
          <w:p w14:paraId="4F66C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7.22%</w:t>
            </w:r>
          </w:p>
        </w:tc>
        <w:tc>
          <w:tcPr>
            <w:tcW w:w="1354" w:type="dxa"/>
            <w:vAlign w:val="center"/>
          </w:tcPr>
          <w:p w14:paraId="52E2CF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96.98%</w:t>
            </w:r>
          </w:p>
        </w:tc>
      </w:tr>
    </w:tbl>
    <w:p w14:paraId="39A4A321">
      <w:pPr>
        <w:spacing w:afterLines="5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0AAF63E8">
      <w:pPr>
        <w:spacing w:afterLines="50" w:line="360" w:lineRule="auto"/>
        <w:ind w:firstLine="600" w:firstLineChars="25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通过上述计算，本项目本地材料总重量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用量比例为96.94%，高于70%，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满足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7.1.10条控制项的要求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。</w:t>
      </w:r>
    </w:p>
    <w:p w14:paraId="4FA5D555">
      <w:pPr>
        <w:spacing w:afterLines="50" w:line="360" w:lineRule="auto"/>
        <w:ind w:firstLine="600" w:firstLineChars="25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可循环利用材料重量比例为7.32%，高于6%，满足7.2.17条评分得3分的要求。</w:t>
      </w:r>
      <w:bookmarkStart w:id="3" w:name="_GoBack"/>
      <w:bookmarkEnd w:id="3"/>
    </w:p>
    <w:p w14:paraId="36C45C14">
      <w:pPr>
        <w:spacing w:afterLines="5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sectPr>
      <w:footerReference r:id="rId4" w:type="default"/>
      <w:pgSz w:w="11906" w:h="16838"/>
      <w:pgMar w:top="1440" w:right="1021" w:bottom="1440" w:left="102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A38B43">
    <w:pPr>
      <w:pStyle w:val="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 w14:paraId="1D258649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177B58">
    <w:pPr>
      <w:pStyle w:val="7"/>
      <w:pBdr>
        <w:bottom w:val="none" w:color="auto" w:sz="0" w:space="0"/>
      </w:pBdr>
      <w:jc w:val="left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5F89BC"/>
    <w:multiLevelType w:val="singleLevel"/>
    <w:tmpl w:val="845F89B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2ODA1Nzk0NGVjNmJiZTY3OGU5ZTUzODlkOTU4M2UifQ=="/>
  </w:docVars>
  <w:rsids>
    <w:rsidRoot w:val="009D104C"/>
    <w:rsid w:val="000004DD"/>
    <w:rsid w:val="00002492"/>
    <w:rsid w:val="00003AC2"/>
    <w:rsid w:val="000130FE"/>
    <w:rsid w:val="00020068"/>
    <w:rsid w:val="000333F5"/>
    <w:rsid w:val="0003341F"/>
    <w:rsid w:val="00037967"/>
    <w:rsid w:val="00052CB1"/>
    <w:rsid w:val="00055318"/>
    <w:rsid w:val="00055687"/>
    <w:rsid w:val="0005723A"/>
    <w:rsid w:val="000612FA"/>
    <w:rsid w:val="00062FCF"/>
    <w:rsid w:val="0006485B"/>
    <w:rsid w:val="000711FB"/>
    <w:rsid w:val="00083290"/>
    <w:rsid w:val="000852F3"/>
    <w:rsid w:val="000A36A9"/>
    <w:rsid w:val="000B51FF"/>
    <w:rsid w:val="000B6782"/>
    <w:rsid w:val="000D4DB4"/>
    <w:rsid w:val="000D5234"/>
    <w:rsid w:val="000E0BDF"/>
    <w:rsid w:val="000F06D5"/>
    <w:rsid w:val="00122D91"/>
    <w:rsid w:val="0012688F"/>
    <w:rsid w:val="00130F76"/>
    <w:rsid w:val="00142426"/>
    <w:rsid w:val="00154D60"/>
    <w:rsid w:val="00160694"/>
    <w:rsid w:val="00171A2A"/>
    <w:rsid w:val="00173BCD"/>
    <w:rsid w:val="0019163D"/>
    <w:rsid w:val="001A0C24"/>
    <w:rsid w:val="001A1FBF"/>
    <w:rsid w:val="001A33A4"/>
    <w:rsid w:val="001B0B32"/>
    <w:rsid w:val="001B0C8E"/>
    <w:rsid w:val="001B3A5A"/>
    <w:rsid w:val="001C400C"/>
    <w:rsid w:val="001D3609"/>
    <w:rsid w:val="001F0923"/>
    <w:rsid w:val="001F5669"/>
    <w:rsid w:val="001F777F"/>
    <w:rsid w:val="00201234"/>
    <w:rsid w:val="002155BD"/>
    <w:rsid w:val="002162EE"/>
    <w:rsid w:val="00217B35"/>
    <w:rsid w:val="00226EDA"/>
    <w:rsid w:val="00227EA3"/>
    <w:rsid w:val="00241D7A"/>
    <w:rsid w:val="002447CF"/>
    <w:rsid w:val="00244E1D"/>
    <w:rsid w:val="00265103"/>
    <w:rsid w:val="002710CD"/>
    <w:rsid w:val="00291992"/>
    <w:rsid w:val="002A483A"/>
    <w:rsid w:val="002A6F9C"/>
    <w:rsid w:val="002B56BE"/>
    <w:rsid w:val="002B6182"/>
    <w:rsid w:val="002C0813"/>
    <w:rsid w:val="002D3D8B"/>
    <w:rsid w:val="002D789C"/>
    <w:rsid w:val="002E0E28"/>
    <w:rsid w:val="002E3D37"/>
    <w:rsid w:val="002F6BB4"/>
    <w:rsid w:val="00302BF8"/>
    <w:rsid w:val="00303A50"/>
    <w:rsid w:val="003041D9"/>
    <w:rsid w:val="0031078F"/>
    <w:rsid w:val="00310CF2"/>
    <w:rsid w:val="003151EF"/>
    <w:rsid w:val="00316BB6"/>
    <w:rsid w:val="003209A5"/>
    <w:rsid w:val="003257A2"/>
    <w:rsid w:val="00326447"/>
    <w:rsid w:val="00334947"/>
    <w:rsid w:val="00345756"/>
    <w:rsid w:val="00351F9E"/>
    <w:rsid w:val="003540C2"/>
    <w:rsid w:val="003607F4"/>
    <w:rsid w:val="00366D07"/>
    <w:rsid w:val="003702DB"/>
    <w:rsid w:val="00371698"/>
    <w:rsid w:val="00374F8D"/>
    <w:rsid w:val="00374FFD"/>
    <w:rsid w:val="00375245"/>
    <w:rsid w:val="00393BDD"/>
    <w:rsid w:val="003A30AA"/>
    <w:rsid w:val="003A414E"/>
    <w:rsid w:val="003A63E5"/>
    <w:rsid w:val="003B27DA"/>
    <w:rsid w:val="003B5A59"/>
    <w:rsid w:val="003C1BD2"/>
    <w:rsid w:val="003C66C5"/>
    <w:rsid w:val="003C6DD5"/>
    <w:rsid w:val="003C7642"/>
    <w:rsid w:val="003D7B59"/>
    <w:rsid w:val="003E0A50"/>
    <w:rsid w:val="003F0C4A"/>
    <w:rsid w:val="003F6589"/>
    <w:rsid w:val="004061AA"/>
    <w:rsid w:val="00421193"/>
    <w:rsid w:val="0042146A"/>
    <w:rsid w:val="00422A62"/>
    <w:rsid w:val="0042599F"/>
    <w:rsid w:val="00437FCA"/>
    <w:rsid w:val="00442AA4"/>
    <w:rsid w:val="004436CE"/>
    <w:rsid w:val="004501D6"/>
    <w:rsid w:val="004506E3"/>
    <w:rsid w:val="00460E72"/>
    <w:rsid w:val="00480109"/>
    <w:rsid w:val="00487B08"/>
    <w:rsid w:val="004A63EF"/>
    <w:rsid w:val="004A6E5C"/>
    <w:rsid w:val="004B28AB"/>
    <w:rsid w:val="004C0D50"/>
    <w:rsid w:val="004D137A"/>
    <w:rsid w:val="004D5AB3"/>
    <w:rsid w:val="004E5AB8"/>
    <w:rsid w:val="004F2FE7"/>
    <w:rsid w:val="00524775"/>
    <w:rsid w:val="005416EE"/>
    <w:rsid w:val="0054502A"/>
    <w:rsid w:val="005450AD"/>
    <w:rsid w:val="00550251"/>
    <w:rsid w:val="005538CA"/>
    <w:rsid w:val="005641C7"/>
    <w:rsid w:val="005642CD"/>
    <w:rsid w:val="005664D6"/>
    <w:rsid w:val="005756DA"/>
    <w:rsid w:val="00584900"/>
    <w:rsid w:val="00593478"/>
    <w:rsid w:val="005A480A"/>
    <w:rsid w:val="005A53DE"/>
    <w:rsid w:val="005B4B83"/>
    <w:rsid w:val="005C00FF"/>
    <w:rsid w:val="005C71A4"/>
    <w:rsid w:val="005E3823"/>
    <w:rsid w:val="005E4D3D"/>
    <w:rsid w:val="005F5B29"/>
    <w:rsid w:val="0060245F"/>
    <w:rsid w:val="00603BB1"/>
    <w:rsid w:val="006122FA"/>
    <w:rsid w:val="00613213"/>
    <w:rsid w:val="00625D9F"/>
    <w:rsid w:val="00636718"/>
    <w:rsid w:val="006402DB"/>
    <w:rsid w:val="00643077"/>
    <w:rsid w:val="00643CE7"/>
    <w:rsid w:val="0064519C"/>
    <w:rsid w:val="00646054"/>
    <w:rsid w:val="00647D2D"/>
    <w:rsid w:val="00651576"/>
    <w:rsid w:val="00663A69"/>
    <w:rsid w:val="00672E00"/>
    <w:rsid w:val="00683932"/>
    <w:rsid w:val="00683F08"/>
    <w:rsid w:val="0069208F"/>
    <w:rsid w:val="00694051"/>
    <w:rsid w:val="00697E39"/>
    <w:rsid w:val="006A0BDF"/>
    <w:rsid w:val="006A4444"/>
    <w:rsid w:val="006A5975"/>
    <w:rsid w:val="006A7CCD"/>
    <w:rsid w:val="006B2D17"/>
    <w:rsid w:val="006B50B4"/>
    <w:rsid w:val="006C0D4D"/>
    <w:rsid w:val="006D19A3"/>
    <w:rsid w:val="006D2201"/>
    <w:rsid w:val="006E6385"/>
    <w:rsid w:val="006E6BDD"/>
    <w:rsid w:val="006F02A3"/>
    <w:rsid w:val="006F382E"/>
    <w:rsid w:val="006F575A"/>
    <w:rsid w:val="00704083"/>
    <w:rsid w:val="00704288"/>
    <w:rsid w:val="007155EC"/>
    <w:rsid w:val="00716107"/>
    <w:rsid w:val="007165FE"/>
    <w:rsid w:val="00717934"/>
    <w:rsid w:val="0072621D"/>
    <w:rsid w:val="00734253"/>
    <w:rsid w:val="007600CB"/>
    <w:rsid w:val="00764129"/>
    <w:rsid w:val="00780E9B"/>
    <w:rsid w:val="00786F5F"/>
    <w:rsid w:val="00790110"/>
    <w:rsid w:val="007948EE"/>
    <w:rsid w:val="007A106E"/>
    <w:rsid w:val="007B25A5"/>
    <w:rsid w:val="007B2CC7"/>
    <w:rsid w:val="007B4AD0"/>
    <w:rsid w:val="007E29BD"/>
    <w:rsid w:val="007E57FC"/>
    <w:rsid w:val="007F1438"/>
    <w:rsid w:val="007F7991"/>
    <w:rsid w:val="0081396F"/>
    <w:rsid w:val="00824AE6"/>
    <w:rsid w:val="0082557D"/>
    <w:rsid w:val="00831552"/>
    <w:rsid w:val="00833FF8"/>
    <w:rsid w:val="0083430A"/>
    <w:rsid w:val="00836BE7"/>
    <w:rsid w:val="0085087C"/>
    <w:rsid w:val="00857249"/>
    <w:rsid w:val="00861D02"/>
    <w:rsid w:val="00865E85"/>
    <w:rsid w:val="00884DB1"/>
    <w:rsid w:val="00887CD3"/>
    <w:rsid w:val="00891EC8"/>
    <w:rsid w:val="008944BB"/>
    <w:rsid w:val="00895402"/>
    <w:rsid w:val="00896612"/>
    <w:rsid w:val="008A73B5"/>
    <w:rsid w:val="008B42C4"/>
    <w:rsid w:val="008B7D62"/>
    <w:rsid w:val="008B7F78"/>
    <w:rsid w:val="008D3019"/>
    <w:rsid w:val="008D7E31"/>
    <w:rsid w:val="008F3565"/>
    <w:rsid w:val="00902497"/>
    <w:rsid w:val="00942D1D"/>
    <w:rsid w:val="00951F2B"/>
    <w:rsid w:val="00952F8D"/>
    <w:rsid w:val="00953769"/>
    <w:rsid w:val="00956E53"/>
    <w:rsid w:val="009634FF"/>
    <w:rsid w:val="00966E19"/>
    <w:rsid w:val="00966FD4"/>
    <w:rsid w:val="00983FA8"/>
    <w:rsid w:val="00990BB3"/>
    <w:rsid w:val="009910E3"/>
    <w:rsid w:val="009923F7"/>
    <w:rsid w:val="00993DD7"/>
    <w:rsid w:val="009A0A67"/>
    <w:rsid w:val="009B1957"/>
    <w:rsid w:val="009B3E3A"/>
    <w:rsid w:val="009C09A4"/>
    <w:rsid w:val="009C619E"/>
    <w:rsid w:val="009D104C"/>
    <w:rsid w:val="009D1196"/>
    <w:rsid w:val="009D639C"/>
    <w:rsid w:val="009D65DF"/>
    <w:rsid w:val="009E0D9D"/>
    <w:rsid w:val="009E4736"/>
    <w:rsid w:val="009F4061"/>
    <w:rsid w:val="009F44F7"/>
    <w:rsid w:val="009F59F3"/>
    <w:rsid w:val="00A02931"/>
    <w:rsid w:val="00A078A5"/>
    <w:rsid w:val="00A25668"/>
    <w:rsid w:val="00A358BA"/>
    <w:rsid w:val="00A44B03"/>
    <w:rsid w:val="00A45500"/>
    <w:rsid w:val="00A45BC7"/>
    <w:rsid w:val="00A52985"/>
    <w:rsid w:val="00A55908"/>
    <w:rsid w:val="00A612B7"/>
    <w:rsid w:val="00A76AF3"/>
    <w:rsid w:val="00A772F5"/>
    <w:rsid w:val="00A776F3"/>
    <w:rsid w:val="00A82ADC"/>
    <w:rsid w:val="00A8638E"/>
    <w:rsid w:val="00A871D3"/>
    <w:rsid w:val="00A902EA"/>
    <w:rsid w:val="00A927C8"/>
    <w:rsid w:val="00A93544"/>
    <w:rsid w:val="00AA1BB7"/>
    <w:rsid w:val="00AA21C7"/>
    <w:rsid w:val="00AA71BE"/>
    <w:rsid w:val="00AB3557"/>
    <w:rsid w:val="00AC1F95"/>
    <w:rsid w:val="00AC3E9A"/>
    <w:rsid w:val="00AD3102"/>
    <w:rsid w:val="00AE3E87"/>
    <w:rsid w:val="00AE6491"/>
    <w:rsid w:val="00AE7E9A"/>
    <w:rsid w:val="00AF0415"/>
    <w:rsid w:val="00AF635E"/>
    <w:rsid w:val="00B06417"/>
    <w:rsid w:val="00B12B7F"/>
    <w:rsid w:val="00B20AB8"/>
    <w:rsid w:val="00B26A2D"/>
    <w:rsid w:val="00B30C6B"/>
    <w:rsid w:val="00B31F59"/>
    <w:rsid w:val="00B37B1D"/>
    <w:rsid w:val="00B42C1D"/>
    <w:rsid w:val="00B516FE"/>
    <w:rsid w:val="00B53C57"/>
    <w:rsid w:val="00B7500F"/>
    <w:rsid w:val="00B8135D"/>
    <w:rsid w:val="00B81384"/>
    <w:rsid w:val="00B85B5C"/>
    <w:rsid w:val="00B9341F"/>
    <w:rsid w:val="00BA5CF8"/>
    <w:rsid w:val="00BB0A31"/>
    <w:rsid w:val="00BB1C6A"/>
    <w:rsid w:val="00BC528D"/>
    <w:rsid w:val="00BC7B54"/>
    <w:rsid w:val="00BD1242"/>
    <w:rsid w:val="00BD5FAE"/>
    <w:rsid w:val="00BD7824"/>
    <w:rsid w:val="00BD79AF"/>
    <w:rsid w:val="00BE37B4"/>
    <w:rsid w:val="00BE62C8"/>
    <w:rsid w:val="00C1229E"/>
    <w:rsid w:val="00C127F3"/>
    <w:rsid w:val="00C17EAA"/>
    <w:rsid w:val="00C22757"/>
    <w:rsid w:val="00C26400"/>
    <w:rsid w:val="00C27A5C"/>
    <w:rsid w:val="00C315A5"/>
    <w:rsid w:val="00C400BB"/>
    <w:rsid w:val="00C4430F"/>
    <w:rsid w:val="00C51955"/>
    <w:rsid w:val="00C56422"/>
    <w:rsid w:val="00C746E7"/>
    <w:rsid w:val="00C80CC5"/>
    <w:rsid w:val="00C848CF"/>
    <w:rsid w:val="00CA1293"/>
    <w:rsid w:val="00CA2710"/>
    <w:rsid w:val="00CA2BA6"/>
    <w:rsid w:val="00CA6617"/>
    <w:rsid w:val="00CB0C93"/>
    <w:rsid w:val="00CD3B96"/>
    <w:rsid w:val="00CD7A02"/>
    <w:rsid w:val="00CF27F3"/>
    <w:rsid w:val="00CF2ECF"/>
    <w:rsid w:val="00D04992"/>
    <w:rsid w:val="00D0531C"/>
    <w:rsid w:val="00D354F0"/>
    <w:rsid w:val="00D3599A"/>
    <w:rsid w:val="00D5121C"/>
    <w:rsid w:val="00D51594"/>
    <w:rsid w:val="00D56CA3"/>
    <w:rsid w:val="00D57497"/>
    <w:rsid w:val="00D6539C"/>
    <w:rsid w:val="00D66824"/>
    <w:rsid w:val="00D84825"/>
    <w:rsid w:val="00D917CA"/>
    <w:rsid w:val="00DA347F"/>
    <w:rsid w:val="00DA4C79"/>
    <w:rsid w:val="00DA673E"/>
    <w:rsid w:val="00DC2742"/>
    <w:rsid w:val="00DD07DD"/>
    <w:rsid w:val="00DD3EEF"/>
    <w:rsid w:val="00DE02FD"/>
    <w:rsid w:val="00DE11B8"/>
    <w:rsid w:val="00DE672B"/>
    <w:rsid w:val="00DF55D8"/>
    <w:rsid w:val="00DF64AF"/>
    <w:rsid w:val="00DF6EA6"/>
    <w:rsid w:val="00E034D1"/>
    <w:rsid w:val="00E05A25"/>
    <w:rsid w:val="00E11904"/>
    <w:rsid w:val="00E22A5B"/>
    <w:rsid w:val="00E3424E"/>
    <w:rsid w:val="00E364ED"/>
    <w:rsid w:val="00E37560"/>
    <w:rsid w:val="00E416CE"/>
    <w:rsid w:val="00E4496B"/>
    <w:rsid w:val="00E53BCD"/>
    <w:rsid w:val="00E646E3"/>
    <w:rsid w:val="00E6797F"/>
    <w:rsid w:val="00E75739"/>
    <w:rsid w:val="00E87ACB"/>
    <w:rsid w:val="00EA36F5"/>
    <w:rsid w:val="00EB2413"/>
    <w:rsid w:val="00EB71F2"/>
    <w:rsid w:val="00ED653C"/>
    <w:rsid w:val="00F17402"/>
    <w:rsid w:val="00F2307C"/>
    <w:rsid w:val="00F276C9"/>
    <w:rsid w:val="00F312AD"/>
    <w:rsid w:val="00F3710E"/>
    <w:rsid w:val="00F3772C"/>
    <w:rsid w:val="00F37C3C"/>
    <w:rsid w:val="00F53BBB"/>
    <w:rsid w:val="00F61612"/>
    <w:rsid w:val="00F636DE"/>
    <w:rsid w:val="00F6528F"/>
    <w:rsid w:val="00F65A94"/>
    <w:rsid w:val="00F67358"/>
    <w:rsid w:val="00F714EE"/>
    <w:rsid w:val="00F77F82"/>
    <w:rsid w:val="00F82DD6"/>
    <w:rsid w:val="00F85144"/>
    <w:rsid w:val="00F87839"/>
    <w:rsid w:val="00F90F5F"/>
    <w:rsid w:val="00F91142"/>
    <w:rsid w:val="00FA6D1F"/>
    <w:rsid w:val="00FA74A7"/>
    <w:rsid w:val="00FC650B"/>
    <w:rsid w:val="00FE51A7"/>
    <w:rsid w:val="00FE6444"/>
    <w:rsid w:val="022C24DE"/>
    <w:rsid w:val="03CE5BCF"/>
    <w:rsid w:val="03D748DC"/>
    <w:rsid w:val="047454E1"/>
    <w:rsid w:val="04B109B1"/>
    <w:rsid w:val="07146D98"/>
    <w:rsid w:val="0A832FA0"/>
    <w:rsid w:val="0E772D33"/>
    <w:rsid w:val="0F346792"/>
    <w:rsid w:val="0F634F1B"/>
    <w:rsid w:val="118E036B"/>
    <w:rsid w:val="1203367E"/>
    <w:rsid w:val="123B0068"/>
    <w:rsid w:val="132C0590"/>
    <w:rsid w:val="136C2946"/>
    <w:rsid w:val="139E58C9"/>
    <w:rsid w:val="14902282"/>
    <w:rsid w:val="152039CA"/>
    <w:rsid w:val="15942AA6"/>
    <w:rsid w:val="15FC00CC"/>
    <w:rsid w:val="16174E9A"/>
    <w:rsid w:val="164374DF"/>
    <w:rsid w:val="16CA6972"/>
    <w:rsid w:val="19E76616"/>
    <w:rsid w:val="1B7D5840"/>
    <w:rsid w:val="1BFF56EC"/>
    <w:rsid w:val="1E7D3BDD"/>
    <w:rsid w:val="205C7FDB"/>
    <w:rsid w:val="21AC1A8F"/>
    <w:rsid w:val="224D4638"/>
    <w:rsid w:val="22DF60B5"/>
    <w:rsid w:val="23483849"/>
    <w:rsid w:val="24A66501"/>
    <w:rsid w:val="24D17D59"/>
    <w:rsid w:val="26525DE2"/>
    <w:rsid w:val="269E4B61"/>
    <w:rsid w:val="27263265"/>
    <w:rsid w:val="287A56E5"/>
    <w:rsid w:val="28BC5ABB"/>
    <w:rsid w:val="28F675EE"/>
    <w:rsid w:val="2B053749"/>
    <w:rsid w:val="2B98763F"/>
    <w:rsid w:val="2BAD2596"/>
    <w:rsid w:val="2C057779"/>
    <w:rsid w:val="2E39541B"/>
    <w:rsid w:val="2E8A7953"/>
    <w:rsid w:val="2F44049C"/>
    <w:rsid w:val="2FF34678"/>
    <w:rsid w:val="2FFA75D6"/>
    <w:rsid w:val="30BD6874"/>
    <w:rsid w:val="30BE0263"/>
    <w:rsid w:val="316867E0"/>
    <w:rsid w:val="31E178DF"/>
    <w:rsid w:val="32144391"/>
    <w:rsid w:val="34297C85"/>
    <w:rsid w:val="354B444E"/>
    <w:rsid w:val="361A1A77"/>
    <w:rsid w:val="364912D2"/>
    <w:rsid w:val="36B47283"/>
    <w:rsid w:val="39E6616C"/>
    <w:rsid w:val="3A044C60"/>
    <w:rsid w:val="3A297FB5"/>
    <w:rsid w:val="3A5D305A"/>
    <w:rsid w:val="3AD922BB"/>
    <w:rsid w:val="3BA93E49"/>
    <w:rsid w:val="3C074556"/>
    <w:rsid w:val="3E5F0D5E"/>
    <w:rsid w:val="3F0A2F90"/>
    <w:rsid w:val="3FBA2F35"/>
    <w:rsid w:val="40C969F5"/>
    <w:rsid w:val="41A2478F"/>
    <w:rsid w:val="41EE3039"/>
    <w:rsid w:val="42810C05"/>
    <w:rsid w:val="43C27FD1"/>
    <w:rsid w:val="45E77923"/>
    <w:rsid w:val="46011D01"/>
    <w:rsid w:val="4605723A"/>
    <w:rsid w:val="4A7B2CA2"/>
    <w:rsid w:val="4ADC7C37"/>
    <w:rsid w:val="4B167887"/>
    <w:rsid w:val="4B5F5D01"/>
    <w:rsid w:val="4C59349D"/>
    <w:rsid w:val="4CC34DE6"/>
    <w:rsid w:val="4D4E28D6"/>
    <w:rsid w:val="4DAD0D28"/>
    <w:rsid w:val="4E2E44B5"/>
    <w:rsid w:val="4F103A06"/>
    <w:rsid w:val="4F420045"/>
    <w:rsid w:val="4F5A5889"/>
    <w:rsid w:val="4F895E47"/>
    <w:rsid w:val="4FED4628"/>
    <w:rsid w:val="4FFE4E26"/>
    <w:rsid w:val="500E5423"/>
    <w:rsid w:val="50FC089B"/>
    <w:rsid w:val="51480C8C"/>
    <w:rsid w:val="52375857"/>
    <w:rsid w:val="52AE056C"/>
    <w:rsid w:val="52C802CC"/>
    <w:rsid w:val="53E06252"/>
    <w:rsid w:val="54225086"/>
    <w:rsid w:val="54EA30F9"/>
    <w:rsid w:val="57415259"/>
    <w:rsid w:val="579A30C2"/>
    <w:rsid w:val="57E41321"/>
    <w:rsid w:val="597A1156"/>
    <w:rsid w:val="5CFC25B3"/>
    <w:rsid w:val="5E3C2852"/>
    <w:rsid w:val="5F392750"/>
    <w:rsid w:val="5F7D7418"/>
    <w:rsid w:val="606D1848"/>
    <w:rsid w:val="60C211B9"/>
    <w:rsid w:val="60C946D3"/>
    <w:rsid w:val="610F7243"/>
    <w:rsid w:val="61447B00"/>
    <w:rsid w:val="622C3BB7"/>
    <w:rsid w:val="644F7208"/>
    <w:rsid w:val="645760BC"/>
    <w:rsid w:val="645C36D2"/>
    <w:rsid w:val="64DF028B"/>
    <w:rsid w:val="67B6759E"/>
    <w:rsid w:val="693A70A7"/>
    <w:rsid w:val="697F4E1D"/>
    <w:rsid w:val="69D26356"/>
    <w:rsid w:val="6AB53B3C"/>
    <w:rsid w:val="6B257426"/>
    <w:rsid w:val="6B8451EB"/>
    <w:rsid w:val="6E6F5286"/>
    <w:rsid w:val="70D913E0"/>
    <w:rsid w:val="7181408B"/>
    <w:rsid w:val="725D5B02"/>
    <w:rsid w:val="732A3CB7"/>
    <w:rsid w:val="7428537F"/>
    <w:rsid w:val="745C3C0D"/>
    <w:rsid w:val="74717F4C"/>
    <w:rsid w:val="75305A6D"/>
    <w:rsid w:val="75E14DAC"/>
    <w:rsid w:val="76EC4493"/>
    <w:rsid w:val="77764653"/>
    <w:rsid w:val="78364649"/>
    <w:rsid w:val="795B003C"/>
    <w:rsid w:val="7BE51799"/>
    <w:rsid w:val="7C7B02F6"/>
    <w:rsid w:val="7CB507A6"/>
    <w:rsid w:val="7CE34AF1"/>
    <w:rsid w:val="7CEE02A8"/>
    <w:rsid w:val="7CF82E4E"/>
    <w:rsid w:val="7DCB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qFormat="1" w:uiPriority="99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qFormat="1"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widowControl/>
      <w:spacing w:before="480" w:line="360" w:lineRule="auto"/>
      <w:jc w:val="left"/>
      <w:outlineLvl w:val="0"/>
    </w:pPr>
    <w:rPr>
      <w:rFonts w:eastAsia="黑体" w:asciiTheme="majorHAnsi" w:hAnsiTheme="majorHAnsi" w:cstheme="majorBidi"/>
      <w:bCs/>
      <w:kern w:val="0"/>
      <w:sz w:val="32"/>
      <w:szCs w:val="28"/>
      <w:lang w:eastAsia="en-US" w:bidi="en-US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qFormat/>
    <w:uiPriority w:val="0"/>
    <w:pPr>
      <w:tabs>
        <w:tab w:val="left" w:pos="0"/>
      </w:tabs>
      <w:autoSpaceDE w:val="0"/>
      <w:autoSpaceDN w:val="0"/>
      <w:adjustRightInd w:val="0"/>
      <w:snapToGrid w:val="0"/>
      <w:jc w:val="left"/>
    </w:pPr>
    <w:rPr>
      <w:rFonts w:ascii="新宋体" w:eastAsia="新宋体"/>
      <w:sz w:val="28"/>
      <w:szCs w:val="24"/>
      <w:lang w:val="zh-CN"/>
    </w:rPr>
  </w:style>
  <w:style w:type="paragraph" w:styleId="4">
    <w:name w:val="Block Text"/>
    <w:basedOn w:val="1"/>
    <w:qFormat/>
    <w:uiPriority w:val="0"/>
    <w:pPr>
      <w:kinsoku w:val="0"/>
      <w:spacing w:line="400" w:lineRule="atLeast"/>
      <w:ind w:firstLine="200" w:firstLineChars="200"/>
    </w:pPr>
    <w:rPr>
      <w:rFonts w:ascii="Times New Roman" w:hAnsi="Times New Roman" w:eastAsia="宋体" w:cs="Times New Roman"/>
      <w:szCs w:val="21"/>
      <w:lang w:val="en-GB"/>
    </w:rPr>
  </w:style>
  <w:style w:type="paragraph" w:styleId="5">
    <w:name w:val="Balloon Text"/>
    <w:basedOn w:val="1"/>
    <w:link w:val="40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4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Body Text First Indent"/>
    <w:basedOn w:val="3"/>
    <w:unhideWhenUsed/>
    <w:qFormat/>
    <w:uiPriority w:val="99"/>
    <w:pPr>
      <w:ind w:firstLine="420"/>
    </w:p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2"/>
    <w:unhideWhenUsed/>
    <w:qFormat/>
    <w:uiPriority w:val="99"/>
    <w:rPr>
      <w:color w:val="800080"/>
      <w:u w:val="single"/>
    </w:rPr>
  </w:style>
  <w:style w:type="character" w:styleId="14">
    <w:name w:val="Hyperlink"/>
    <w:basedOn w:val="12"/>
    <w:unhideWhenUsed/>
    <w:qFormat/>
    <w:uiPriority w:val="99"/>
    <w:rPr>
      <w:color w:val="0000FF"/>
      <w:u w:val="single"/>
    </w:rPr>
  </w:style>
  <w:style w:type="paragraph" w:customStyle="1" w:styleId="15">
    <w:name w:val="列出段落1"/>
    <w:basedOn w:val="1"/>
    <w:qFormat/>
    <w:uiPriority w:val="0"/>
    <w:pPr>
      <w:ind w:firstLine="420" w:firstLineChars="200"/>
    </w:pPr>
  </w:style>
  <w:style w:type="paragraph" w:customStyle="1" w:styleId="16">
    <w:name w:val="列出段落11"/>
    <w:basedOn w:val="1"/>
    <w:qFormat/>
    <w:uiPriority w:val="0"/>
    <w:pPr>
      <w:ind w:firstLine="420" w:firstLineChars="200"/>
    </w:pPr>
  </w:style>
  <w:style w:type="paragraph" w:customStyle="1" w:styleId="1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宋体" w:eastAsia="宋体" w:cs="宋体"/>
      <w:color w:val="000000"/>
      <w:sz w:val="24"/>
      <w:szCs w:val="24"/>
      <w:lang w:val="en-US" w:eastAsia="zh-CN" w:bidi="ar-SA"/>
    </w:rPr>
  </w:style>
  <w:style w:type="paragraph" w:customStyle="1" w:styleId="18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9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2"/>
    </w:rPr>
  </w:style>
  <w:style w:type="paragraph" w:customStyle="1" w:styleId="20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1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2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3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4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5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6">
    <w:name w:val="xl71"/>
    <w:basedOn w:val="1"/>
    <w:qFormat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7">
    <w:name w:val="xl72"/>
    <w:basedOn w:val="1"/>
    <w:qFormat/>
    <w:uiPriority w:val="0"/>
    <w:pPr>
      <w:widowControl/>
      <w:pBdr>
        <w:top w:val="single" w:color="auto" w:sz="8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8">
    <w:name w:val="xl73"/>
    <w:basedOn w:val="1"/>
    <w:qFormat/>
    <w:uiPriority w:val="0"/>
    <w:pPr>
      <w:widowControl/>
      <w:pBdr>
        <w:top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9">
    <w:name w:val="xl74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30">
    <w:name w:val="xl75"/>
    <w:basedOn w:val="1"/>
    <w:qFormat/>
    <w:uiPriority w:val="0"/>
    <w:pPr>
      <w:widowControl/>
      <w:pBdr>
        <w:top w:val="single" w:color="auto" w:sz="8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31">
    <w:name w:val="xl76"/>
    <w:basedOn w:val="1"/>
    <w:qFormat/>
    <w:uiPriority w:val="0"/>
    <w:pPr>
      <w:widowControl/>
      <w:pBdr>
        <w:top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32">
    <w:name w:val="xl77"/>
    <w:basedOn w:val="1"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33">
    <w:name w:val="xl78"/>
    <w:basedOn w:val="1"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34">
    <w:name w:val="xl7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35">
    <w:name w:val="xl80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36">
    <w:name w:val="xl81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37">
    <w:name w:val="xl82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38">
    <w:name w:val="列出段落2"/>
    <w:basedOn w:val="1"/>
    <w:unhideWhenUsed/>
    <w:qFormat/>
    <w:uiPriority w:val="99"/>
    <w:pPr>
      <w:ind w:firstLine="420" w:firstLineChars="200"/>
    </w:pPr>
  </w:style>
  <w:style w:type="character" w:customStyle="1" w:styleId="39">
    <w:name w:val="占位符文本1"/>
    <w:basedOn w:val="12"/>
    <w:semiHidden/>
    <w:qFormat/>
    <w:uiPriority w:val="99"/>
    <w:rPr>
      <w:color w:val="808080"/>
    </w:rPr>
  </w:style>
  <w:style w:type="character" w:customStyle="1" w:styleId="40">
    <w:name w:val="批注框文本 Char"/>
    <w:basedOn w:val="12"/>
    <w:link w:val="5"/>
    <w:semiHidden/>
    <w:qFormat/>
    <w:uiPriority w:val="99"/>
    <w:rPr>
      <w:sz w:val="18"/>
      <w:szCs w:val="18"/>
    </w:rPr>
  </w:style>
  <w:style w:type="character" w:customStyle="1" w:styleId="41">
    <w:name w:val="页眉 Char"/>
    <w:basedOn w:val="12"/>
    <w:link w:val="7"/>
    <w:semiHidden/>
    <w:qFormat/>
    <w:uiPriority w:val="99"/>
    <w:rPr>
      <w:sz w:val="18"/>
      <w:szCs w:val="18"/>
    </w:rPr>
  </w:style>
  <w:style w:type="character" w:customStyle="1" w:styleId="42">
    <w:name w:val="页脚 Char"/>
    <w:basedOn w:val="12"/>
    <w:link w:val="6"/>
    <w:qFormat/>
    <w:uiPriority w:val="99"/>
    <w:rPr>
      <w:sz w:val="18"/>
      <w:szCs w:val="18"/>
    </w:rPr>
  </w:style>
  <w:style w:type="character" w:customStyle="1" w:styleId="43">
    <w:name w:val="font01"/>
    <w:basedOn w:val="12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  <w:vertAlign w:val="superscript"/>
    </w:rPr>
  </w:style>
  <w:style w:type="character" w:customStyle="1" w:styleId="44">
    <w:name w:val="font51"/>
    <w:basedOn w:val="1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  <w:vertAlign w:val="superscript"/>
    </w:rPr>
  </w:style>
  <w:style w:type="character" w:customStyle="1" w:styleId="45">
    <w:name w:val="font11"/>
    <w:basedOn w:val="1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table" w:customStyle="1" w:styleId="46">
    <w:name w:val="普通表格2"/>
    <w:basedOn w:val="10"/>
    <w:qFormat/>
    <w:uiPriority w:val="0"/>
    <w:pPr>
      <w:jc w:val="center"/>
    </w:pPr>
    <w:tblPr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table" w:customStyle="1" w:styleId="47">
    <w:name w:val="网格型1"/>
    <w:basedOn w:val="10"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48">
    <w:name w:val="font21"/>
    <w:basedOn w:val="12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49">
    <w:name w:val="font61"/>
    <w:basedOn w:val="1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  <w:vertAlign w:val="superscript"/>
    </w:rPr>
  </w:style>
  <w:style w:type="character" w:customStyle="1" w:styleId="50">
    <w:name w:val="font31"/>
    <w:basedOn w:val="12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51">
    <w:name w:val="font41"/>
    <w:basedOn w:val="1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26C89-0572-4C2B-AD55-CEF157C4F6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1809</Words>
  <Characters>2522</Characters>
  <Lines>7</Lines>
  <Paragraphs>2</Paragraphs>
  <TotalTime>2</TotalTime>
  <ScaleCrop>false</ScaleCrop>
  <LinksUpToDate>false</LinksUpToDate>
  <CharactersWithSpaces>2632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2020-07-13T06:45:00Z</dcterms:created>
  <dc:creator>jizhe</dc:creator>
  <cp:lastModifiedBy>:D</cp:lastModifiedBy>
  <cp:lastPrinted>2016-12-24T02:25:00Z</cp:lastPrinted>
  <dcterms:modified xsi:type="dcterms:W3CDTF">2026-03-26T07:14:32Z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FA46F9CBF5464FA193FBE334843BCCB1_13</vt:lpwstr>
  </property>
  <property fmtid="{D5CDD505-2E9C-101B-9397-08002B2CF9AE}" pid="4" name="KSOTemplateDocerSaveRecord">
    <vt:lpwstr>eyJoZGlkIjoiZmFjMGFiM2ZiMDU1ODBlZDBlZjc0MGExZDkyZmUwYTMiLCJ1c2VySWQiOiIxMzMzNDkxNzQ1In0=</vt:lpwstr>
  </property>
</Properties>
</file>