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华南地区校际生活综合体2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项目名称：华南地区校际生活综合体2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全寿命期单位建筑面积碳排放强为16.52kgCO2/（m2·a）减碳率71.02%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