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溯风理碳——性能驱动下千禧代高层空间优化改造设计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总得分：Q=（Q0+Q1+Q2+Q3+Q4+Q5+QA）/10=62.9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0725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947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9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