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0C44">
      <w:pPr>
        <w:spacing w:line="180" w:lineRule="atLeast"/>
        <w:rPr>
          <w:rFonts w:hint="eastAsia" w:ascii="宋体" w:hAnsi="宋体"/>
          <w:b/>
          <w:bCs/>
          <w:sz w:val="32"/>
          <w:szCs w:val="32"/>
        </w:rPr>
      </w:pPr>
      <w:bookmarkStart w:id="51" w:name="_GoBack"/>
      <w:bookmarkEnd w:id="51"/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 w14:paraId="43E5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 w14:paraId="4E81A16D">
            <w:pPr>
              <w:widowControl w:val="0"/>
              <w:spacing w:before="468" w:beforeLines="1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80"/>
                <w:kern w:val="0"/>
                <w:sz w:val="72"/>
                <w:szCs w:val="52"/>
                <w:fitText w:val="8640" w:id="-940382463"/>
              </w:rPr>
              <w:t>住区热环境设计报告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0382463"/>
              </w:rPr>
              <w:t>书</w:t>
            </w:r>
          </w:p>
          <w:p w14:paraId="6E295D1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  <w:t>（规定性设计）</w:t>
            </w:r>
          </w:p>
        </w:tc>
      </w:tr>
      <w:tr w14:paraId="3E1A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571790C9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bookmarkEnd w:id="1"/>
          </w:p>
        </w:tc>
      </w:tr>
      <w:bookmarkEnd w:id="0"/>
      <w:tr w14:paraId="1C23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1418F2B0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14:paraId="40C3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072F685D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2336F5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82E6A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A424AA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C367C1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BF4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142C07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8DE6DB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824198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北京</w:t>
            </w:r>
            <w:bookmarkEnd w:id="4"/>
          </w:p>
        </w:tc>
      </w:tr>
      <w:tr w14:paraId="78AF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1C3D3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08E15C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75E54C5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6A24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FCE27B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2D662A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592C1E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42F3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354845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C663C8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92CB39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551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09702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C403F4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C96C6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AE0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685B4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83638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8E019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DBA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016D00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637EF0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AD94F1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2026年1月2日</w:t>
            </w:r>
            <w:bookmarkEnd w:id="7"/>
          </w:p>
        </w:tc>
      </w:tr>
    </w:tbl>
    <w:p w14:paraId="3481626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2E6AB7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5511361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64C595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A0BE3B3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352B315B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20F140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055F05F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BF32D53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B1EA7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4BFA273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78147A2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5A5F714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T18697753905</w:t>
            </w:r>
            <w:bookmarkEnd w:id="10"/>
          </w:p>
        </w:tc>
        <w:tc>
          <w:tcPr>
            <w:tcW w:w="3958" w:type="dxa"/>
            <w:vMerge w:val="continue"/>
          </w:tcPr>
          <w:p w14:paraId="0B04A352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BCDF40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6BFBCE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4BDD14B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112DDA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26F05B51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5F501C7F">
      <w:pPr>
        <w:tabs>
          <w:tab w:val="left" w:pos="3452"/>
        </w:tabs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621A6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65EB016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_Toc27567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_Toc27567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20F85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_Toc10786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_Toc10786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6CD561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_Toc23712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_Toc23712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6CF51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_Toc6035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_Toc6035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D95DB7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_Toc23459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_Toc23459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68D8B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_Toc11305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_Toc11305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2B068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_Toc12832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_Toc12832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4EDFF3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_Toc4240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_Toc4240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BA1E02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_Toc24434 </w:instrText>
      </w:r>
      <w:r>
        <w:fldChar w:fldCharType="separate"/>
      </w:r>
      <w:r>
        <w:rPr>
          <w:rFonts w:hint="eastAsia"/>
        </w:rPr>
        <w:t>6 规定性设计指标</w:t>
      </w:r>
      <w:r>
        <w:tab/>
      </w:r>
      <w:r>
        <w:fldChar w:fldCharType="begin"/>
      </w:r>
      <w:r>
        <w:instrText xml:space="preserve"> PAGEREF _Toc24434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1C431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_Toc17066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_Toc17066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CE29F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_Toc15896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_Toc15896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F5824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_Toc24183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_Toc24183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C705D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_Toc32657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_Toc32657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B677B6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_Toc10002 </w:instrText>
      </w:r>
      <w:r>
        <w:fldChar w:fldCharType="separate"/>
      </w:r>
      <w:r>
        <w:rPr>
          <w:rFonts w:hint="eastAsia"/>
        </w:rPr>
        <w:t>7 结论</w:t>
      </w:r>
      <w:r>
        <w:tab/>
      </w:r>
      <w:r>
        <w:fldChar w:fldCharType="begin"/>
      </w:r>
      <w:r>
        <w:instrText xml:space="preserve"> PAGEREF _Toc10002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188E224">
      <w:pPr>
        <w:pStyle w:val="16"/>
        <w:sectPr>
          <w:headerReference r:id="rId7" w:type="first"/>
          <w:headerReference r:id="rId6" w:type="default"/>
          <w:footerReference r:id="rId8" w:type="default"/>
          <w:footerReference r:id="rId9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B5852EC">
      <w:pPr>
        <w:pStyle w:val="16"/>
      </w:pPr>
    </w:p>
    <w:p w14:paraId="46720B64">
      <w:pPr>
        <w:pStyle w:val="2"/>
      </w:pPr>
      <w:bookmarkStart w:id="12" w:name="_Toc27567"/>
      <w:r>
        <w:rPr>
          <w:rFonts w:hint="eastAsia"/>
        </w:rPr>
        <w:t>住区概况</w:t>
      </w:r>
      <w:bookmarkEnd w:id="12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27D82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02BC52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A367F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14:paraId="1F39F3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A37F20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F4D9A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北京</w:t>
            </w:r>
            <w:bookmarkEnd w:id="14"/>
          </w:p>
        </w:tc>
      </w:tr>
      <w:tr w14:paraId="0C730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D4C28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DB6616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t>116.32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18C303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t>39.95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1BFF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391232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61FEA9A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气候区"/>
            <w:r>
              <w:t>IIA</w:t>
            </w:r>
            <w:bookmarkEnd w:id="17"/>
          </w:p>
        </w:tc>
      </w:tr>
      <w:tr w14:paraId="26BDF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BF8711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451737A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主导风向"/>
            <w:r>
              <w:t>南</w:t>
            </w:r>
            <w:bookmarkEnd w:id="18"/>
          </w:p>
        </w:tc>
      </w:tr>
    </w:tbl>
    <w:p w14:paraId="608AA869">
      <w:pPr>
        <w:pStyle w:val="3"/>
        <w:ind w:firstLine="420"/>
        <w:rPr>
          <w:lang w:val="en-US"/>
        </w:rPr>
      </w:pPr>
    </w:p>
    <w:p w14:paraId="426BAB2C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28775">
      <w:pPr>
        <w:pStyle w:val="3"/>
        <w:ind w:firstLine="0" w:firstLineChars="0"/>
        <w:jc w:val="center"/>
        <w:rPr>
          <w:lang w:val="en-US"/>
        </w:rPr>
      </w:pPr>
      <w:bookmarkStart w:id="20" w:name="OLE_LINK3"/>
      <w:bookmarkStart w:id="21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20"/>
      <w:bookmarkEnd w:id="21"/>
    </w:p>
    <w:p w14:paraId="0B63707E">
      <w:pPr>
        <w:pStyle w:val="3"/>
        <w:ind w:firstLine="0" w:firstLineChars="0"/>
        <w:rPr>
          <w:lang w:val="en-US"/>
        </w:rPr>
      </w:pPr>
    </w:p>
    <w:p w14:paraId="00DF5537">
      <w:pPr>
        <w:pStyle w:val="3"/>
        <w:ind w:firstLine="0" w:firstLineChars="0"/>
        <w:jc w:val="center"/>
        <w:rPr>
          <w:lang w:val="en-US"/>
        </w:rPr>
      </w:pPr>
      <w:bookmarkStart w:id="22" w:name="总图平面图"/>
      <w:bookmarkEnd w:id="22"/>
      <w:r>
        <w:drawing>
          <wp:inline distT="0" distB="0" distL="0" distR="0">
            <wp:extent cx="5667375" cy="36576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4BE61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069846D7">
      <w:pPr>
        <w:pStyle w:val="2"/>
      </w:pPr>
      <w:bookmarkStart w:id="23" w:name="_Toc10786"/>
      <w:bookmarkStart w:id="24" w:name="TitleFormat"/>
      <w:r>
        <w:rPr>
          <w:rFonts w:hint="eastAsia"/>
        </w:rPr>
        <w:t>设计依据</w:t>
      </w:r>
      <w:bookmarkEnd w:id="23"/>
    </w:p>
    <w:bookmarkEnd w:id="24"/>
    <w:p w14:paraId="1AE25C8B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bookmarkEnd w:id="25"/>
    </w:p>
    <w:p w14:paraId="790505B0">
      <w:pPr>
        <w:pStyle w:val="2"/>
      </w:pPr>
      <w:bookmarkStart w:id="26" w:name="_Toc23712"/>
      <w:r>
        <w:rPr>
          <w:rFonts w:hint="eastAsia"/>
        </w:rPr>
        <w:t>计算规定</w:t>
      </w:r>
      <w:bookmarkEnd w:id="26"/>
    </w:p>
    <w:p w14:paraId="50B83A8B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</w:t>
      </w:r>
      <w:r>
        <w:rPr>
          <w:rFonts w:ascii="Arial" w:hAnsi="Arial" w:cs="Arial"/>
          <w:color w:val="333333"/>
          <w:shd w:val="clear" w:color="auto" w:fill="FFFFFF"/>
        </w:rPr>
        <w:t>规定性设计</w:t>
      </w:r>
      <w:r>
        <w:rPr>
          <w:rFonts w:hint="eastAsia" w:ascii="Arial" w:hAnsi="Arial" w:cs="Arial"/>
          <w:color w:val="333333"/>
          <w:shd w:val="clear" w:color="auto" w:fill="FFFFFF"/>
        </w:rPr>
        <w:t>和</w:t>
      </w:r>
      <w:r>
        <w:rPr>
          <w:rFonts w:ascii="Arial" w:hAnsi="Arial" w:cs="Arial"/>
          <w:color w:val="333333"/>
          <w:shd w:val="clear" w:color="auto" w:fill="FFFFFF"/>
        </w:rPr>
        <w:t>评价性设计</w:t>
      </w:r>
      <w:r>
        <w:rPr>
          <w:rFonts w:hint="eastAsia" w:ascii="Arial" w:hAnsi="Arial" w:cs="Arial"/>
          <w:color w:val="333333"/>
          <w:shd w:val="clear" w:color="auto" w:fill="FFFFFF"/>
        </w:rPr>
        <w:t>，当不满足规定性指标时可进行性能设计指标评价</w:t>
      </w:r>
      <w:r>
        <w:rPr>
          <w:rFonts w:ascii="Arial" w:hAnsi="Arial" w:cs="Arial"/>
          <w:color w:val="333333"/>
          <w:shd w:val="clear" w:color="auto" w:fill="FFFFFF"/>
        </w:rPr>
        <w:t>。</w:t>
      </w:r>
    </w:p>
    <w:p w14:paraId="230B2847">
      <w:pPr>
        <w:pStyle w:val="4"/>
      </w:pPr>
      <w:bookmarkStart w:id="27" w:name="_Toc6035"/>
      <w:r>
        <w:rPr>
          <w:rFonts w:hint="eastAsia"/>
        </w:rPr>
        <w:t>规定性设计</w:t>
      </w:r>
      <w:bookmarkEnd w:id="27"/>
    </w:p>
    <w:p w14:paraId="7E15028E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07100ED4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0E159DA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6E4CEF52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22909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601B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CBD1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F25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15F8C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D641F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D099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47B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DD06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03EA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1757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3874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2E1C9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F908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7CE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B87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C604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76C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BCEA9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3E4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5E967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FF80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B183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4D7AA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7561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ED97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C9A90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65987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0139F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753E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B205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134A8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1F9A27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993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5E8E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7D47D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5D4C6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BF9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A54E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1716E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D5EE2D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EFF2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2FC3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BA16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5711AE8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5C605C62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77C50D6A">
      <w:pPr>
        <w:pStyle w:val="2"/>
      </w:pPr>
      <w:bookmarkStart w:id="28" w:name="_Toc23459"/>
      <w:r>
        <w:rPr>
          <w:rFonts w:hint="eastAsia"/>
        </w:rPr>
        <w:t>计算参数</w:t>
      </w:r>
      <w:bookmarkEnd w:id="28"/>
    </w:p>
    <w:p w14:paraId="5DA09856">
      <w:pPr>
        <w:pStyle w:val="4"/>
      </w:pPr>
      <w:bookmarkStart w:id="29" w:name="_Toc11305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0420F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A3C382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2085B00"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 w14:paraId="3734160C"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1F8F9D08"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66F314C2"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3F616300"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 w14:paraId="146DE3EE">
            <w:pPr>
              <w:jc w:val="center"/>
            </w:pPr>
            <w:r>
              <w:t>主导风向</w:t>
            </w:r>
          </w:p>
        </w:tc>
      </w:tr>
      <w:tr w14:paraId="1630F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1DCD28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10EB5918">
            <w:pPr>
              <w:jc w:val="center"/>
            </w:pPr>
            <w:r>
              <w:t>24.5</w:t>
            </w:r>
          </w:p>
        </w:tc>
        <w:tc>
          <w:tcPr>
            <w:vAlign w:val="center"/>
          </w:tcPr>
          <w:p w14:paraId="5EEE21ED"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 w14:paraId="644FAC5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57B3E3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501BD50">
            <w:pPr>
              <w:jc w:val="center"/>
            </w:pPr>
            <w:r>
              <w:t>1.6</w:t>
            </w:r>
          </w:p>
        </w:tc>
        <w:tc>
          <w:tcPr>
            <w:vMerge w:val="restart"/>
            <w:vAlign w:val="center"/>
          </w:tcPr>
          <w:p w14:paraId="7D9A6277">
            <w:pPr>
              <w:jc w:val="center"/>
            </w:pPr>
            <w:r>
              <w:t>南</w:t>
            </w:r>
          </w:p>
        </w:tc>
      </w:tr>
      <w:tr w14:paraId="464CE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575AF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F8C7459">
            <w:pPr>
              <w:jc w:val="center"/>
            </w:pPr>
            <w:r>
              <w:t>24.1</w:t>
            </w:r>
          </w:p>
        </w:tc>
        <w:tc>
          <w:tcPr>
            <w:vAlign w:val="center"/>
          </w:tcPr>
          <w:p w14:paraId="22CFFF3A"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 w14:paraId="3943618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836292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28F007D">
            <w:pPr>
              <w:jc w:val="center"/>
            </w:pPr>
            <w:r>
              <w:t>1.5</w:t>
            </w:r>
          </w:p>
        </w:tc>
        <w:tc>
          <w:tcPr>
            <w:vMerge w:val="continue"/>
            <w:vAlign w:val="center"/>
          </w:tcPr>
          <w:p w14:paraId="4DAA70AC">
            <w:pPr>
              <w:jc w:val="center"/>
            </w:pPr>
          </w:p>
        </w:tc>
      </w:tr>
      <w:tr w14:paraId="3A7BB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06B50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1665CA">
            <w:pPr>
              <w:jc w:val="center"/>
            </w:pPr>
            <w:r>
              <w:t>23.6</w:t>
            </w:r>
          </w:p>
        </w:tc>
        <w:tc>
          <w:tcPr>
            <w:vAlign w:val="center"/>
          </w:tcPr>
          <w:p w14:paraId="7D4A8390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0A41C17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3192E5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DB92E84"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 w14:paraId="7BD1ECA0">
            <w:pPr>
              <w:jc w:val="center"/>
            </w:pPr>
          </w:p>
        </w:tc>
      </w:tr>
      <w:tr w14:paraId="10C5E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7D62C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0ADE68F">
            <w:pPr>
              <w:jc w:val="center"/>
            </w:pPr>
            <w:r>
              <w:t>23.2</w:t>
            </w:r>
          </w:p>
        </w:tc>
        <w:tc>
          <w:tcPr>
            <w:vAlign w:val="center"/>
          </w:tcPr>
          <w:p w14:paraId="6566B2C7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6D1DC4E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BE5081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9496648">
            <w:pPr>
              <w:jc w:val="center"/>
            </w:pPr>
            <w:r>
              <w:t>1.4</w:t>
            </w:r>
          </w:p>
        </w:tc>
        <w:tc>
          <w:tcPr>
            <w:vMerge w:val="continue"/>
            <w:vAlign w:val="center"/>
          </w:tcPr>
          <w:p w14:paraId="60F22C08">
            <w:pPr>
              <w:jc w:val="center"/>
            </w:pPr>
          </w:p>
        </w:tc>
      </w:tr>
      <w:tr w14:paraId="2D1C5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36116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BDD837D">
            <w:pPr>
              <w:jc w:val="center"/>
            </w:pPr>
            <w:r>
              <w:t>22.8</w:t>
            </w:r>
          </w:p>
        </w:tc>
        <w:tc>
          <w:tcPr>
            <w:vAlign w:val="center"/>
          </w:tcPr>
          <w:p w14:paraId="50D7B2D3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4E03E1E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383942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4D41A5C"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 w14:paraId="18D7BF46">
            <w:pPr>
              <w:jc w:val="center"/>
            </w:pPr>
          </w:p>
        </w:tc>
      </w:tr>
      <w:tr w14:paraId="4932E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EE89B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4627EF8">
            <w:pPr>
              <w:jc w:val="center"/>
            </w:pPr>
            <w:r>
              <w:t>22.6</w:t>
            </w:r>
          </w:p>
        </w:tc>
        <w:tc>
          <w:tcPr>
            <w:vAlign w:val="center"/>
          </w:tcPr>
          <w:p w14:paraId="0329B6F1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434693F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4DD851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69B206C"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 w14:paraId="696C9372">
            <w:pPr>
              <w:jc w:val="center"/>
            </w:pPr>
          </w:p>
        </w:tc>
      </w:tr>
      <w:tr w14:paraId="5EA32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FCC32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9D7744C">
            <w:pPr>
              <w:jc w:val="center"/>
            </w:pPr>
            <w:r>
              <w:t>22.9</w:t>
            </w:r>
          </w:p>
        </w:tc>
        <w:tc>
          <w:tcPr>
            <w:vAlign w:val="center"/>
          </w:tcPr>
          <w:p w14:paraId="74C46D91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0C5F3E1F">
            <w:pPr>
              <w:jc w:val="center"/>
            </w:pPr>
            <w:r>
              <w:t>31.86</w:t>
            </w:r>
          </w:p>
        </w:tc>
        <w:tc>
          <w:tcPr>
            <w:vAlign w:val="center"/>
          </w:tcPr>
          <w:p w14:paraId="073319A5">
            <w:pPr>
              <w:jc w:val="center"/>
            </w:pPr>
            <w:r>
              <w:t>28.32</w:t>
            </w:r>
          </w:p>
        </w:tc>
        <w:tc>
          <w:tcPr>
            <w:vAlign w:val="center"/>
          </w:tcPr>
          <w:p w14:paraId="58728493">
            <w:pPr>
              <w:jc w:val="center"/>
            </w:pPr>
            <w:r>
              <w:t>1.5</w:t>
            </w:r>
          </w:p>
        </w:tc>
        <w:tc>
          <w:tcPr>
            <w:vMerge w:val="continue"/>
            <w:vAlign w:val="center"/>
          </w:tcPr>
          <w:p w14:paraId="36927299">
            <w:pPr>
              <w:jc w:val="center"/>
            </w:pPr>
          </w:p>
        </w:tc>
      </w:tr>
      <w:tr w14:paraId="6C363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5A11E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3D46663">
            <w:pPr>
              <w:jc w:val="center"/>
            </w:pPr>
            <w:r>
              <w:t>23.5</w:t>
            </w:r>
          </w:p>
        </w:tc>
        <w:tc>
          <w:tcPr>
            <w:vAlign w:val="center"/>
          </w:tcPr>
          <w:p w14:paraId="48729378"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 w14:paraId="616A7DEA">
            <w:pPr>
              <w:jc w:val="center"/>
            </w:pPr>
            <w:r>
              <w:t>123.90</w:t>
            </w:r>
          </w:p>
        </w:tc>
        <w:tc>
          <w:tcPr>
            <w:vAlign w:val="center"/>
          </w:tcPr>
          <w:p w14:paraId="6D1817D1">
            <w:pPr>
              <w:jc w:val="center"/>
            </w:pPr>
            <w:r>
              <w:t>97.94</w:t>
            </w:r>
          </w:p>
        </w:tc>
        <w:tc>
          <w:tcPr>
            <w:vAlign w:val="center"/>
          </w:tcPr>
          <w:p w14:paraId="3BA774A1">
            <w:pPr>
              <w:jc w:val="center"/>
            </w:pPr>
            <w:r>
              <w:t>1.6</w:t>
            </w:r>
          </w:p>
        </w:tc>
        <w:tc>
          <w:tcPr>
            <w:vMerge w:val="continue"/>
            <w:vAlign w:val="center"/>
          </w:tcPr>
          <w:p w14:paraId="2354B45A">
            <w:pPr>
              <w:jc w:val="center"/>
            </w:pPr>
          </w:p>
        </w:tc>
      </w:tr>
      <w:tr w14:paraId="5E559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6B247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7705DF0">
            <w:pPr>
              <w:jc w:val="center"/>
            </w:pPr>
            <w:r>
              <w:t>24.4</w:t>
            </w:r>
          </w:p>
        </w:tc>
        <w:tc>
          <w:tcPr>
            <w:vAlign w:val="center"/>
          </w:tcPr>
          <w:p w14:paraId="547BE5B9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7CD7DA31">
            <w:pPr>
              <w:jc w:val="center"/>
            </w:pPr>
            <w:r>
              <w:t>230.10</w:t>
            </w:r>
          </w:p>
        </w:tc>
        <w:tc>
          <w:tcPr>
            <w:vAlign w:val="center"/>
          </w:tcPr>
          <w:p w14:paraId="7145AF63">
            <w:pPr>
              <w:jc w:val="center"/>
            </w:pPr>
            <w:r>
              <w:t>178.18</w:t>
            </w:r>
          </w:p>
        </w:tc>
        <w:tc>
          <w:tcPr>
            <w:vAlign w:val="center"/>
          </w:tcPr>
          <w:p w14:paraId="7B8E4D6C"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 w14:paraId="1D0BFA39">
            <w:pPr>
              <w:jc w:val="center"/>
            </w:pPr>
          </w:p>
        </w:tc>
      </w:tr>
      <w:tr w14:paraId="1EEC6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34145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3E5DC60">
            <w:pPr>
              <w:jc w:val="center"/>
            </w:pPr>
            <w:r>
              <w:t>25.4</w:t>
            </w:r>
          </w:p>
        </w:tc>
        <w:tc>
          <w:tcPr>
            <w:vAlign w:val="center"/>
          </w:tcPr>
          <w:p w14:paraId="67D7B177">
            <w:pPr>
              <w:jc w:val="center"/>
            </w:pPr>
            <w:r>
              <w:t>74</w:t>
            </w:r>
          </w:p>
        </w:tc>
        <w:tc>
          <w:tcPr>
            <w:vAlign w:val="center"/>
          </w:tcPr>
          <w:p w14:paraId="0D1739FE">
            <w:pPr>
              <w:jc w:val="center"/>
            </w:pPr>
            <w:r>
              <w:t>359.90</w:t>
            </w:r>
          </w:p>
        </w:tc>
        <w:tc>
          <w:tcPr>
            <w:vAlign w:val="center"/>
          </w:tcPr>
          <w:p w14:paraId="74D31D3D">
            <w:pPr>
              <w:jc w:val="center"/>
            </w:pPr>
            <w:r>
              <w:t>260.78</w:t>
            </w:r>
          </w:p>
        </w:tc>
        <w:tc>
          <w:tcPr>
            <w:vAlign w:val="center"/>
          </w:tcPr>
          <w:p w14:paraId="67906D7E">
            <w:pPr>
              <w:jc w:val="center"/>
            </w:pPr>
            <w:r>
              <w:t>1.9</w:t>
            </w:r>
          </w:p>
        </w:tc>
        <w:tc>
          <w:tcPr>
            <w:vMerge w:val="continue"/>
            <w:vAlign w:val="center"/>
          </w:tcPr>
          <w:p w14:paraId="1BCC1617">
            <w:pPr>
              <w:jc w:val="center"/>
            </w:pPr>
          </w:p>
        </w:tc>
      </w:tr>
      <w:tr w14:paraId="1F616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0F3AF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A938F2F">
            <w:pPr>
              <w:jc w:val="center"/>
            </w:pPr>
            <w:r>
              <w:t>26.4</w:t>
            </w:r>
          </w:p>
        </w:tc>
        <w:tc>
          <w:tcPr>
            <w:vAlign w:val="center"/>
          </w:tcPr>
          <w:p w14:paraId="7F7DE592">
            <w:pPr>
              <w:jc w:val="center"/>
            </w:pPr>
            <w:r>
              <w:t>70</w:t>
            </w:r>
          </w:p>
        </w:tc>
        <w:tc>
          <w:tcPr>
            <w:vAlign w:val="center"/>
          </w:tcPr>
          <w:p w14:paraId="4D3E50F0">
            <w:pPr>
              <w:jc w:val="center"/>
            </w:pPr>
            <w:r>
              <w:t>472.00</w:t>
            </w:r>
          </w:p>
        </w:tc>
        <w:tc>
          <w:tcPr>
            <w:vAlign w:val="center"/>
          </w:tcPr>
          <w:p w14:paraId="27555B67">
            <w:pPr>
              <w:jc w:val="center"/>
            </w:pPr>
            <w:r>
              <w:t>322.14</w:t>
            </w:r>
          </w:p>
        </w:tc>
        <w:tc>
          <w:tcPr>
            <w:vAlign w:val="center"/>
          </w:tcPr>
          <w:p w14:paraId="2B5372C8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3A3273F3">
            <w:pPr>
              <w:jc w:val="center"/>
            </w:pPr>
          </w:p>
        </w:tc>
      </w:tr>
      <w:tr w14:paraId="50BC6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C145AC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FC9C7DB">
            <w:pPr>
              <w:jc w:val="center"/>
            </w:pPr>
            <w:r>
              <w:t>27.3</w:t>
            </w:r>
          </w:p>
        </w:tc>
        <w:tc>
          <w:tcPr>
            <w:vAlign w:val="center"/>
          </w:tcPr>
          <w:p w14:paraId="439A1CEF"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 w14:paraId="28222152">
            <w:pPr>
              <w:jc w:val="center"/>
            </w:pPr>
            <w:r>
              <w:t>553.42</w:t>
            </w:r>
          </w:p>
        </w:tc>
        <w:tc>
          <w:tcPr>
            <w:vAlign w:val="center"/>
          </w:tcPr>
          <w:p w14:paraId="6D2445F3">
            <w:pPr>
              <w:jc w:val="center"/>
            </w:pPr>
            <w:r>
              <w:t>378.78</w:t>
            </w:r>
          </w:p>
        </w:tc>
        <w:tc>
          <w:tcPr>
            <w:vAlign w:val="center"/>
          </w:tcPr>
          <w:p w14:paraId="235F1D6F">
            <w:pPr>
              <w:jc w:val="center"/>
            </w:pPr>
            <w:r>
              <w:t>2.1</w:t>
            </w:r>
          </w:p>
        </w:tc>
        <w:tc>
          <w:tcPr>
            <w:vMerge w:val="continue"/>
            <w:vAlign w:val="center"/>
          </w:tcPr>
          <w:p w14:paraId="23B05ED3">
            <w:pPr>
              <w:jc w:val="center"/>
            </w:pPr>
          </w:p>
        </w:tc>
      </w:tr>
      <w:tr w14:paraId="3EDA4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5CF08D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6060BD7">
            <w:pPr>
              <w:jc w:val="center"/>
            </w:pPr>
            <w:r>
              <w:t>28.2</w:t>
            </w:r>
          </w:p>
        </w:tc>
        <w:tc>
          <w:tcPr>
            <w:vAlign w:val="center"/>
          </w:tcPr>
          <w:p w14:paraId="41DC18BB"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 w14:paraId="13F3AC18">
            <w:pPr>
              <w:jc w:val="center"/>
            </w:pPr>
            <w:r>
              <w:t>607.70</w:t>
            </w:r>
          </w:p>
        </w:tc>
        <w:tc>
          <w:tcPr>
            <w:vAlign w:val="center"/>
          </w:tcPr>
          <w:p w14:paraId="5B9639D3">
            <w:pPr>
              <w:jc w:val="center"/>
            </w:pPr>
            <w:r>
              <w:t>403.56</w:t>
            </w:r>
          </w:p>
        </w:tc>
        <w:tc>
          <w:tcPr>
            <w:vAlign w:val="center"/>
          </w:tcPr>
          <w:p w14:paraId="5AB3BF99">
            <w:pPr>
              <w:jc w:val="center"/>
            </w:pPr>
            <w:r>
              <w:t>2.3</w:t>
            </w:r>
          </w:p>
        </w:tc>
        <w:tc>
          <w:tcPr>
            <w:vMerge w:val="continue"/>
            <w:vAlign w:val="center"/>
          </w:tcPr>
          <w:p w14:paraId="123D75B4">
            <w:pPr>
              <w:jc w:val="center"/>
            </w:pPr>
          </w:p>
        </w:tc>
      </w:tr>
      <w:tr w14:paraId="31EAE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A570EB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3064B961">
            <w:pPr>
              <w:jc w:val="center"/>
            </w:pPr>
            <w:r>
              <w:t>28.9</w:t>
            </w:r>
          </w:p>
        </w:tc>
        <w:tc>
          <w:tcPr>
            <w:vAlign w:val="center"/>
          </w:tcPr>
          <w:p w14:paraId="189C7CE9">
            <w:pPr>
              <w:jc w:val="center"/>
            </w:pPr>
            <w:r>
              <w:t>61</w:t>
            </w:r>
          </w:p>
        </w:tc>
        <w:tc>
          <w:tcPr>
            <w:vAlign w:val="center"/>
          </w:tcPr>
          <w:p w14:paraId="45C9EF58">
            <w:pPr>
              <w:jc w:val="center"/>
            </w:pPr>
            <w:r>
              <w:t>607.70</w:t>
            </w:r>
          </w:p>
        </w:tc>
        <w:tc>
          <w:tcPr>
            <w:vAlign w:val="center"/>
          </w:tcPr>
          <w:p w14:paraId="22ADE53F">
            <w:pPr>
              <w:jc w:val="center"/>
            </w:pPr>
            <w:r>
              <w:t>400.02</w:t>
            </w:r>
          </w:p>
        </w:tc>
        <w:tc>
          <w:tcPr>
            <w:vAlign w:val="center"/>
          </w:tcPr>
          <w:p w14:paraId="718EA3AC">
            <w:pPr>
              <w:jc w:val="center"/>
            </w:pPr>
            <w:r>
              <w:t>2.6</w:t>
            </w:r>
          </w:p>
        </w:tc>
        <w:tc>
          <w:tcPr>
            <w:vMerge w:val="continue"/>
            <w:vAlign w:val="center"/>
          </w:tcPr>
          <w:p w14:paraId="7CE3088E">
            <w:pPr>
              <w:jc w:val="center"/>
            </w:pPr>
          </w:p>
        </w:tc>
      </w:tr>
      <w:tr w14:paraId="615B7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2E7203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2FEC360A">
            <w:pPr>
              <w:jc w:val="center"/>
            </w:pPr>
            <w:r>
              <w:t>29.4</w:t>
            </w:r>
          </w:p>
        </w:tc>
        <w:tc>
          <w:tcPr>
            <w:vAlign w:val="center"/>
          </w:tcPr>
          <w:p w14:paraId="5149B515">
            <w:pPr>
              <w:jc w:val="center"/>
            </w:pPr>
            <w:r>
              <w:t>59</w:t>
            </w:r>
          </w:p>
        </w:tc>
        <w:tc>
          <w:tcPr>
            <w:vAlign w:val="center"/>
          </w:tcPr>
          <w:p w14:paraId="5C6982B5">
            <w:pPr>
              <w:jc w:val="center"/>
            </w:pPr>
            <w:r>
              <w:t>569.94</w:t>
            </w:r>
          </w:p>
        </w:tc>
        <w:tc>
          <w:tcPr>
            <w:vAlign w:val="center"/>
          </w:tcPr>
          <w:p w14:paraId="27B6A35E">
            <w:pPr>
              <w:jc w:val="center"/>
            </w:pPr>
            <w:r>
              <w:t>384.68</w:t>
            </w:r>
          </w:p>
        </w:tc>
        <w:tc>
          <w:tcPr>
            <w:vAlign w:val="center"/>
          </w:tcPr>
          <w:p w14:paraId="3EF353F0">
            <w:pPr>
              <w:jc w:val="center"/>
            </w:pPr>
            <w:r>
              <w:t>2.8</w:t>
            </w:r>
          </w:p>
        </w:tc>
        <w:tc>
          <w:tcPr>
            <w:vMerge w:val="continue"/>
            <w:vAlign w:val="center"/>
          </w:tcPr>
          <w:p w14:paraId="6AC7E3DB">
            <w:pPr>
              <w:jc w:val="center"/>
            </w:pPr>
          </w:p>
        </w:tc>
      </w:tr>
      <w:tr w14:paraId="41D5A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AE93F1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38D38B50">
            <w:pPr>
              <w:jc w:val="center"/>
            </w:pPr>
            <w:r>
              <w:t>29.7</w:t>
            </w:r>
          </w:p>
        </w:tc>
        <w:tc>
          <w:tcPr>
            <w:vAlign w:val="center"/>
          </w:tcPr>
          <w:p w14:paraId="77C70E3A"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 w14:paraId="6A2619EE">
            <w:pPr>
              <w:jc w:val="center"/>
            </w:pPr>
            <w:r>
              <w:t>495.60</w:t>
            </w:r>
          </w:p>
        </w:tc>
        <w:tc>
          <w:tcPr>
            <w:vAlign w:val="center"/>
          </w:tcPr>
          <w:p w14:paraId="45C2BF22">
            <w:pPr>
              <w:jc w:val="center"/>
            </w:pPr>
            <w:r>
              <w:t>330.40</w:t>
            </w:r>
          </w:p>
        </w:tc>
        <w:tc>
          <w:tcPr>
            <w:vAlign w:val="center"/>
          </w:tcPr>
          <w:p w14:paraId="293148F8">
            <w:pPr>
              <w:jc w:val="center"/>
            </w:pPr>
            <w:r>
              <w:t>2.8</w:t>
            </w:r>
          </w:p>
        </w:tc>
        <w:tc>
          <w:tcPr>
            <w:vMerge w:val="continue"/>
            <w:vAlign w:val="center"/>
          </w:tcPr>
          <w:p w14:paraId="5782D796">
            <w:pPr>
              <w:jc w:val="center"/>
            </w:pPr>
          </w:p>
        </w:tc>
      </w:tr>
      <w:tr w14:paraId="355A1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CF7565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31BC954">
            <w:pPr>
              <w:jc w:val="center"/>
            </w:pPr>
            <w:r>
              <w:t>29.6</w:t>
            </w:r>
          </w:p>
        </w:tc>
        <w:tc>
          <w:tcPr>
            <w:vAlign w:val="center"/>
          </w:tcPr>
          <w:p w14:paraId="38EE39B7"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 w14:paraId="24FBD1AA">
            <w:pPr>
              <w:jc w:val="center"/>
            </w:pPr>
            <w:r>
              <w:t>382.32</w:t>
            </w:r>
          </w:p>
        </w:tc>
        <w:tc>
          <w:tcPr>
            <w:vAlign w:val="center"/>
          </w:tcPr>
          <w:p w14:paraId="279F6DD0">
            <w:pPr>
              <w:jc w:val="center"/>
            </w:pPr>
            <w:r>
              <w:t>256.06</w:t>
            </w:r>
          </w:p>
        </w:tc>
        <w:tc>
          <w:tcPr>
            <w:vAlign w:val="center"/>
          </w:tcPr>
          <w:p w14:paraId="58C9EE40">
            <w:pPr>
              <w:jc w:val="center"/>
            </w:pPr>
            <w:r>
              <w:t>2.9</w:t>
            </w:r>
          </w:p>
        </w:tc>
        <w:tc>
          <w:tcPr>
            <w:vMerge w:val="continue"/>
            <w:vAlign w:val="center"/>
          </w:tcPr>
          <w:p w14:paraId="4EBB9FB6">
            <w:pPr>
              <w:jc w:val="center"/>
            </w:pPr>
          </w:p>
        </w:tc>
      </w:tr>
      <w:tr w14:paraId="76839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93D8FF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6C2D59E3">
            <w:pPr>
              <w:jc w:val="center"/>
            </w:pPr>
            <w:r>
              <w:t>29.3</w:t>
            </w:r>
          </w:p>
        </w:tc>
        <w:tc>
          <w:tcPr>
            <w:vAlign w:val="center"/>
          </w:tcPr>
          <w:p w14:paraId="0EFBAF5E"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 w14:paraId="6940ADD0">
            <w:pPr>
              <w:jc w:val="center"/>
            </w:pPr>
            <w:r>
              <w:t>253.70</w:t>
            </w:r>
          </w:p>
        </w:tc>
        <w:tc>
          <w:tcPr>
            <w:vAlign w:val="center"/>
          </w:tcPr>
          <w:p w14:paraId="555D6CD6">
            <w:pPr>
              <w:jc w:val="center"/>
            </w:pPr>
            <w:r>
              <w:t>177.00</w:t>
            </w:r>
          </w:p>
        </w:tc>
        <w:tc>
          <w:tcPr>
            <w:vAlign w:val="center"/>
          </w:tcPr>
          <w:p w14:paraId="1E3AB5B9">
            <w:pPr>
              <w:jc w:val="center"/>
            </w:pPr>
            <w:r>
              <w:t>2.9</w:t>
            </w:r>
          </w:p>
        </w:tc>
        <w:tc>
          <w:tcPr>
            <w:vMerge w:val="continue"/>
            <w:vAlign w:val="center"/>
          </w:tcPr>
          <w:p w14:paraId="6912458B">
            <w:pPr>
              <w:jc w:val="center"/>
            </w:pPr>
          </w:p>
        </w:tc>
      </w:tr>
      <w:tr w14:paraId="2672D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A5AC7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08F7A09">
            <w:pPr>
              <w:jc w:val="center"/>
            </w:pPr>
            <w:r>
              <w:t>28.8</w:t>
            </w:r>
          </w:p>
        </w:tc>
        <w:tc>
          <w:tcPr>
            <w:vAlign w:val="center"/>
          </w:tcPr>
          <w:p w14:paraId="260A07A5"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 w14:paraId="72E8A212">
            <w:pPr>
              <w:jc w:val="center"/>
            </w:pPr>
            <w:r>
              <w:t>129.80</w:t>
            </w:r>
          </w:p>
        </w:tc>
        <w:tc>
          <w:tcPr>
            <w:vAlign w:val="center"/>
          </w:tcPr>
          <w:p w14:paraId="51221FC5">
            <w:pPr>
              <w:jc w:val="center"/>
            </w:pPr>
            <w:r>
              <w:t>94.40</w:t>
            </w:r>
          </w:p>
        </w:tc>
        <w:tc>
          <w:tcPr>
            <w:vAlign w:val="center"/>
          </w:tcPr>
          <w:p w14:paraId="7FBE0D88">
            <w:pPr>
              <w:jc w:val="center"/>
            </w:pPr>
            <w:r>
              <w:t>2.7</w:t>
            </w:r>
          </w:p>
        </w:tc>
        <w:tc>
          <w:tcPr>
            <w:vMerge w:val="continue"/>
            <w:vAlign w:val="center"/>
          </w:tcPr>
          <w:p w14:paraId="0936FCBF">
            <w:pPr>
              <w:jc w:val="center"/>
            </w:pPr>
          </w:p>
        </w:tc>
      </w:tr>
      <w:tr w14:paraId="21BD9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76DE4B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34C9E2FD">
            <w:pPr>
              <w:jc w:val="center"/>
            </w:pPr>
            <w:r>
              <w:t>28.0</w:t>
            </w:r>
          </w:p>
        </w:tc>
        <w:tc>
          <w:tcPr>
            <w:vAlign w:val="center"/>
          </w:tcPr>
          <w:p w14:paraId="09A176A6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01AFFFF2">
            <w:pPr>
              <w:jc w:val="center"/>
            </w:pPr>
            <w:r>
              <w:t>18.88</w:t>
            </w:r>
          </w:p>
        </w:tc>
        <w:tc>
          <w:tcPr>
            <w:vAlign w:val="center"/>
          </w:tcPr>
          <w:p w14:paraId="1775623F">
            <w:pPr>
              <w:jc w:val="center"/>
            </w:pPr>
            <w:r>
              <w:t>16.52</w:t>
            </w:r>
          </w:p>
        </w:tc>
        <w:tc>
          <w:tcPr>
            <w:vAlign w:val="center"/>
          </w:tcPr>
          <w:p w14:paraId="488F6958">
            <w:pPr>
              <w:jc w:val="center"/>
            </w:pPr>
            <w:r>
              <w:t>2.4</w:t>
            </w:r>
          </w:p>
        </w:tc>
        <w:tc>
          <w:tcPr>
            <w:vMerge w:val="continue"/>
            <w:vAlign w:val="center"/>
          </w:tcPr>
          <w:p w14:paraId="4D2AA35A">
            <w:pPr>
              <w:jc w:val="center"/>
            </w:pPr>
          </w:p>
        </w:tc>
      </w:tr>
      <w:tr w14:paraId="0F669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AF3E2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D541C5A">
            <w:pPr>
              <w:jc w:val="center"/>
            </w:pPr>
            <w:r>
              <w:t>27.2</w:t>
            </w:r>
          </w:p>
        </w:tc>
        <w:tc>
          <w:tcPr>
            <w:vAlign w:val="center"/>
          </w:tcPr>
          <w:p w14:paraId="49F501E4"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 w14:paraId="442D023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16B470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9C1C5C7">
            <w:pPr>
              <w:jc w:val="center"/>
            </w:pPr>
            <w:r>
              <w:t>2.1</w:t>
            </w:r>
          </w:p>
        </w:tc>
        <w:tc>
          <w:tcPr>
            <w:vMerge w:val="continue"/>
            <w:vAlign w:val="center"/>
          </w:tcPr>
          <w:p w14:paraId="2BB3A3B9">
            <w:pPr>
              <w:jc w:val="center"/>
            </w:pPr>
          </w:p>
        </w:tc>
      </w:tr>
      <w:tr w14:paraId="6637F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E945B1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49BA6D8E">
            <w:pPr>
              <w:jc w:val="center"/>
            </w:pPr>
            <w:r>
              <w:t>26.3</w:t>
            </w:r>
          </w:p>
        </w:tc>
        <w:tc>
          <w:tcPr>
            <w:vAlign w:val="center"/>
          </w:tcPr>
          <w:p w14:paraId="5545FA1C">
            <w:pPr>
              <w:jc w:val="center"/>
            </w:pPr>
            <w:r>
              <w:t>73</w:t>
            </w:r>
          </w:p>
        </w:tc>
        <w:tc>
          <w:tcPr>
            <w:vAlign w:val="center"/>
          </w:tcPr>
          <w:p w14:paraId="137BB80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5A4169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88D53F1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43D07032">
            <w:pPr>
              <w:jc w:val="center"/>
            </w:pPr>
          </w:p>
        </w:tc>
      </w:tr>
      <w:tr w14:paraId="017E6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31F3A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7707634">
            <w:pPr>
              <w:jc w:val="center"/>
            </w:pPr>
            <w:r>
              <w:t>25.6</w:t>
            </w:r>
          </w:p>
        </w:tc>
        <w:tc>
          <w:tcPr>
            <w:vAlign w:val="center"/>
          </w:tcPr>
          <w:p w14:paraId="506D874F"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 w14:paraId="24DCB45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8AD489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3D0B660">
            <w:pPr>
              <w:jc w:val="center"/>
            </w:pPr>
            <w:r>
              <w:t>1.8</w:t>
            </w:r>
          </w:p>
        </w:tc>
        <w:tc>
          <w:tcPr>
            <w:vMerge w:val="continue"/>
            <w:vAlign w:val="center"/>
          </w:tcPr>
          <w:p w14:paraId="4096EE87">
            <w:pPr>
              <w:jc w:val="center"/>
            </w:pPr>
          </w:p>
        </w:tc>
      </w:tr>
      <w:tr w14:paraId="04BAF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A8BB74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0F626BE0">
            <w:pPr>
              <w:jc w:val="center"/>
            </w:pPr>
            <w:r>
              <w:t>25.0</w:t>
            </w:r>
          </w:p>
        </w:tc>
        <w:tc>
          <w:tcPr>
            <w:vAlign w:val="center"/>
          </w:tcPr>
          <w:p w14:paraId="7BD3B3A8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23BCB0A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9FA995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118210A"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 w14:paraId="369551EF">
            <w:pPr>
              <w:jc w:val="center"/>
            </w:pPr>
          </w:p>
        </w:tc>
      </w:tr>
      <w:tr w14:paraId="6531E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4291A3"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 w14:paraId="492B23B5">
            <w:pPr>
              <w:jc w:val="center"/>
            </w:pPr>
            <w:r>
              <w:t>26.1</w:t>
            </w:r>
          </w:p>
        </w:tc>
        <w:tc>
          <w:tcPr>
            <w:vAlign w:val="center"/>
          </w:tcPr>
          <w:p w14:paraId="5C844851"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 w14:paraId="39BFECEC">
            <w:pPr>
              <w:jc w:val="center"/>
            </w:pPr>
            <w:r>
              <w:t>201.53</w:t>
            </w:r>
          </w:p>
        </w:tc>
        <w:tc>
          <w:tcPr>
            <w:vAlign w:val="center"/>
          </w:tcPr>
          <w:p w14:paraId="3AFEBE65">
            <w:pPr>
              <w:jc w:val="center"/>
            </w:pPr>
            <w:r>
              <w:t>138.70</w:t>
            </w:r>
          </w:p>
        </w:tc>
        <w:tc>
          <w:tcPr>
            <w:vAlign w:val="center"/>
          </w:tcPr>
          <w:p w14:paraId="74F040E9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66802EA4">
            <w:pPr>
              <w:jc w:val="center"/>
            </w:pPr>
          </w:p>
        </w:tc>
      </w:tr>
    </w:tbl>
    <w:p w14:paraId="75010CC1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44534F6F">
      <w:pPr>
        <w:pStyle w:val="4"/>
      </w:pPr>
      <w:bookmarkStart w:id="31" w:name="_Toc12832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4B790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53F1B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07C375D"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110C31CC"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1BC18C58"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 w14:paraId="1EA8C206"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 w14:paraId="43290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35D83A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3517A529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3D7A780A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4B0D360B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0864E270">
            <w:pPr>
              <w:jc w:val="center"/>
            </w:pPr>
            <w:r>
              <w:t>0.22</w:t>
            </w:r>
          </w:p>
        </w:tc>
      </w:tr>
      <w:tr w14:paraId="10E1F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4712D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4D7820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72304056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2006B41E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391A73EA">
            <w:pPr>
              <w:jc w:val="center"/>
            </w:pPr>
            <w:r>
              <w:t>0.16</w:t>
            </w:r>
          </w:p>
        </w:tc>
      </w:tr>
      <w:tr w14:paraId="6B5BC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8A9D8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FB8D121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7A685711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0CF9440B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3905EBBD">
            <w:pPr>
              <w:jc w:val="center"/>
            </w:pPr>
            <w:r>
              <w:t>0.16</w:t>
            </w:r>
          </w:p>
        </w:tc>
      </w:tr>
      <w:tr w14:paraId="6404D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EF216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C5A24BB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2FD65E68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6F1E045F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39AF428D">
            <w:pPr>
              <w:jc w:val="center"/>
            </w:pPr>
            <w:r>
              <w:t>0.15</w:t>
            </w:r>
          </w:p>
        </w:tc>
      </w:tr>
      <w:tr w14:paraId="4EF1A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46D9D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2C0BFDE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6274624D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05E002A5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05BDF229">
            <w:pPr>
              <w:jc w:val="center"/>
            </w:pPr>
            <w:r>
              <w:t>0.17</w:t>
            </w:r>
          </w:p>
        </w:tc>
      </w:tr>
      <w:tr w14:paraId="714C8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AF241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972DAFF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5F7D7D4C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076D55ED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663CFDEB">
            <w:pPr>
              <w:jc w:val="center"/>
            </w:pPr>
            <w:r>
              <w:t>0.20</w:t>
            </w:r>
          </w:p>
        </w:tc>
      </w:tr>
      <w:tr w14:paraId="1A69F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D1B55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B84991E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03A8C06D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4F1E7065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4482B4E2">
            <w:pPr>
              <w:jc w:val="center"/>
            </w:pPr>
            <w:r>
              <w:t>0.28</w:t>
            </w:r>
          </w:p>
        </w:tc>
      </w:tr>
      <w:tr w14:paraId="5440A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F9834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4B23413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10347D30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A69EEF6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77B07E01">
            <w:pPr>
              <w:jc w:val="center"/>
            </w:pPr>
            <w:r>
              <w:t>0.35</w:t>
            </w:r>
          </w:p>
        </w:tc>
      </w:tr>
      <w:tr w14:paraId="18231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F890E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703D733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06467E2E"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 w14:paraId="31D25CE0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335AF1E7">
            <w:pPr>
              <w:jc w:val="center"/>
            </w:pPr>
            <w:r>
              <w:t>0.45</w:t>
            </w:r>
          </w:p>
        </w:tc>
      </w:tr>
      <w:tr w14:paraId="07A8A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35654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918F125">
            <w:pPr>
              <w:jc w:val="center"/>
            </w:pPr>
            <w:r>
              <w:t>0.86</w:t>
            </w:r>
          </w:p>
        </w:tc>
        <w:tc>
          <w:tcPr>
            <w:vAlign w:val="center"/>
          </w:tcPr>
          <w:p w14:paraId="0C44997B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5B69A7EA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12F10AA5">
            <w:pPr>
              <w:jc w:val="center"/>
            </w:pPr>
            <w:r>
              <w:t>0.52</w:t>
            </w:r>
          </w:p>
        </w:tc>
      </w:tr>
      <w:tr w14:paraId="541FF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335D1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47F4A1C">
            <w:pPr>
              <w:jc w:val="center"/>
            </w:pPr>
            <w:r>
              <w:t>1.02</w:t>
            </w:r>
          </w:p>
        </w:tc>
        <w:tc>
          <w:tcPr>
            <w:vAlign w:val="center"/>
          </w:tcPr>
          <w:p w14:paraId="66DE3989">
            <w:pPr>
              <w:jc w:val="center"/>
            </w:pPr>
            <w:r>
              <w:t>0.69</w:t>
            </w:r>
          </w:p>
        </w:tc>
        <w:tc>
          <w:tcPr>
            <w:vAlign w:val="center"/>
          </w:tcPr>
          <w:p w14:paraId="0177F511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07D57C23">
            <w:pPr>
              <w:jc w:val="center"/>
            </w:pPr>
            <w:r>
              <w:t>0.55</w:t>
            </w:r>
          </w:p>
        </w:tc>
      </w:tr>
      <w:tr w14:paraId="69961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5C15FC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4B2FABC"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 w14:paraId="2BEEC2DA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0A3D9F08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60335068">
            <w:pPr>
              <w:jc w:val="center"/>
            </w:pPr>
            <w:r>
              <w:t>0.52</w:t>
            </w:r>
          </w:p>
        </w:tc>
      </w:tr>
      <w:tr w14:paraId="17D79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BF064A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A501188">
            <w:pPr>
              <w:jc w:val="center"/>
            </w:pPr>
            <w:r>
              <w:t>1.18</w:t>
            </w:r>
          </w:p>
        </w:tc>
        <w:tc>
          <w:tcPr>
            <w:vAlign w:val="center"/>
          </w:tcPr>
          <w:p w14:paraId="5ED4AAF2">
            <w:pPr>
              <w:jc w:val="center"/>
            </w:pPr>
            <w:r>
              <w:t>0.59</w:t>
            </w:r>
          </w:p>
        </w:tc>
        <w:tc>
          <w:tcPr>
            <w:vAlign w:val="center"/>
          </w:tcPr>
          <w:p w14:paraId="6357B6DE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3ED2C896">
            <w:pPr>
              <w:jc w:val="center"/>
            </w:pPr>
            <w:r>
              <w:t>0.47</w:t>
            </w:r>
          </w:p>
        </w:tc>
      </w:tr>
      <w:tr w14:paraId="28AF9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A85B4E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4BDF6DD2"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 w14:paraId="430DC5E0"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 w14:paraId="56A92C27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4E87DCA5">
            <w:pPr>
              <w:jc w:val="center"/>
            </w:pPr>
            <w:r>
              <w:t>0.42</w:t>
            </w:r>
          </w:p>
        </w:tc>
      </w:tr>
      <w:tr w14:paraId="5EAD0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213B6F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30D0A465"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 w14:paraId="0CDE3376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47101E50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7D252F44">
            <w:pPr>
              <w:jc w:val="center"/>
            </w:pPr>
            <w:r>
              <w:t>0.32</w:t>
            </w:r>
          </w:p>
        </w:tc>
      </w:tr>
      <w:tr w14:paraId="15AA8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D66601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26F943FC">
            <w:pPr>
              <w:jc w:val="center"/>
            </w:pPr>
            <w:r>
              <w:t>0.93</w:t>
            </w:r>
          </w:p>
        </w:tc>
        <w:tc>
          <w:tcPr>
            <w:vAlign w:val="center"/>
          </w:tcPr>
          <w:p w14:paraId="4F7B55DB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1F8E4DE7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6F95F093">
            <w:pPr>
              <w:jc w:val="center"/>
            </w:pPr>
            <w:r>
              <w:t>0.28</w:t>
            </w:r>
          </w:p>
        </w:tc>
      </w:tr>
      <w:tr w14:paraId="0C73D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D8DF7E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67A4E7E"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 w14:paraId="5E979F00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5FA2F7F"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 w14:paraId="0D3E14CC">
            <w:pPr>
              <w:jc w:val="center"/>
            </w:pPr>
            <w:r>
              <w:t>0.20</w:t>
            </w:r>
          </w:p>
        </w:tc>
      </w:tr>
      <w:tr w14:paraId="52D93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14CB1F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28091E41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01B6C06A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387DB164"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 w14:paraId="173C7A6A">
            <w:pPr>
              <w:jc w:val="center"/>
            </w:pPr>
            <w:r>
              <w:t>0.17</w:t>
            </w:r>
          </w:p>
        </w:tc>
      </w:tr>
      <w:tr w14:paraId="48949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E1001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DFAEECD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103154DE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71047B59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6B9647BF">
            <w:pPr>
              <w:jc w:val="center"/>
            </w:pPr>
            <w:r>
              <w:t>0.14</w:t>
            </w:r>
          </w:p>
        </w:tc>
      </w:tr>
      <w:tr w14:paraId="1251A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5090A8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5B1BBE30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FE11FA1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6D020FA3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74BD202C">
            <w:pPr>
              <w:jc w:val="center"/>
            </w:pPr>
            <w:r>
              <w:t>0.11</w:t>
            </w:r>
          </w:p>
        </w:tc>
      </w:tr>
      <w:tr w14:paraId="41525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C3E04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86A9065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36128DD5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47E9AB2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B39A291">
            <w:pPr>
              <w:jc w:val="center"/>
            </w:pPr>
            <w:r>
              <w:t>0.09</w:t>
            </w:r>
          </w:p>
        </w:tc>
      </w:tr>
      <w:tr w14:paraId="1048B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ACCD95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2A531B38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2D297E95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74B085FA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2651CA8D">
            <w:pPr>
              <w:jc w:val="center"/>
            </w:pPr>
            <w:r>
              <w:t>0.09</w:t>
            </w:r>
          </w:p>
        </w:tc>
      </w:tr>
      <w:tr w14:paraId="4565F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7620AA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2D2CDA4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01CB0FC7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047ED1B1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7935D0C3">
            <w:pPr>
              <w:jc w:val="center"/>
            </w:pPr>
            <w:r>
              <w:t>0.06</w:t>
            </w:r>
          </w:p>
        </w:tc>
      </w:tr>
      <w:tr w14:paraId="62ABF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A11128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64366DA1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1FBBD1EC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7E71279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8144B5D">
            <w:pPr>
              <w:jc w:val="center"/>
            </w:pPr>
            <w:r>
              <w:t>0.08</w:t>
            </w:r>
          </w:p>
        </w:tc>
      </w:tr>
      <w:tr w14:paraId="69626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9AC976"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 w14:paraId="3A4D8308">
            <w:pPr>
              <w:jc w:val="center"/>
            </w:pPr>
            <w:r>
              <w:t>12.50</w:t>
            </w:r>
          </w:p>
        </w:tc>
        <w:tc>
          <w:tcPr>
            <w:vAlign w:val="center"/>
          </w:tcPr>
          <w:p w14:paraId="364E116C">
            <w:pPr>
              <w:jc w:val="center"/>
            </w:pPr>
            <w:r>
              <w:t>7.70</w:t>
            </w:r>
          </w:p>
        </w:tc>
        <w:tc>
          <w:tcPr>
            <w:vAlign w:val="center"/>
          </w:tcPr>
          <w:p w14:paraId="7B6C99DA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D1876D3">
            <w:pPr>
              <w:jc w:val="center"/>
            </w:pPr>
            <w:r>
              <w:t>6.16</w:t>
            </w:r>
          </w:p>
        </w:tc>
      </w:tr>
    </w:tbl>
    <w:p w14:paraId="4B1B30F6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6D322CD3">
      <w:pPr>
        <w:pStyle w:val="2"/>
      </w:pPr>
      <w:bookmarkStart w:id="33" w:name="_Toc4240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03CBC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ACF09B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35572A0E">
            <w:pPr>
              <w:jc w:val="center"/>
            </w:pPr>
            <w:r>
              <w:t>值</w:t>
            </w:r>
          </w:p>
        </w:tc>
      </w:tr>
      <w:tr w14:paraId="4D8D8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49DCB5">
            <w:r>
              <w:t>地块面积(㎡)</w:t>
            </w:r>
          </w:p>
        </w:tc>
        <w:tc>
          <w:tcPr>
            <w:vAlign w:val="center"/>
          </w:tcPr>
          <w:p w14:paraId="69AAFC97">
            <w:r>
              <w:t>6166.35</w:t>
            </w:r>
          </w:p>
        </w:tc>
      </w:tr>
      <w:tr w14:paraId="7DFFC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052B74">
            <w:r>
              <w:t>建筑密度</w:t>
            </w:r>
          </w:p>
        </w:tc>
        <w:tc>
          <w:tcPr>
            <w:vAlign w:val="center"/>
          </w:tcPr>
          <w:p w14:paraId="4853D72B">
            <w:r>
              <w:t>0.00</w:t>
            </w:r>
          </w:p>
        </w:tc>
      </w:tr>
      <w:tr w14:paraId="6B9B2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268991">
            <w:r>
              <w:t>室外面积(㎡)</w:t>
            </w:r>
          </w:p>
        </w:tc>
        <w:tc>
          <w:tcPr>
            <w:vAlign w:val="center"/>
          </w:tcPr>
          <w:p w14:paraId="6CA57CDB">
            <w:r>
              <w:t>6166.35</w:t>
            </w:r>
          </w:p>
        </w:tc>
      </w:tr>
      <w:tr w14:paraId="47A91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13FCDF">
            <w:r>
              <w:t>草地面积(㎡)</w:t>
            </w:r>
          </w:p>
        </w:tc>
        <w:tc>
          <w:tcPr>
            <w:vAlign w:val="center"/>
          </w:tcPr>
          <w:p w14:paraId="557E1877">
            <w:r>
              <w:t>0.00</w:t>
            </w:r>
          </w:p>
        </w:tc>
      </w:tr>
      <w:tr w14:paraId="247CD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43533F">
            <w:r>
              <w:t>水面面积(㎡)</w:t>
            </w:r>
          </w:p>
        </w:tc>
        <w:tc>
          <w:tcPr>
            <w:vAlign w:val="center"/>
          </w:tcPr>
          <w:p w14:paraId="30CB512E">
            <w:r>
              <w:t>0.00</w:t>
            </w:r>
          </w:p>
        </w:tc>
      </w:tr>
      <w:tr w14:paraId="396FC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C9811B">
            <w:r>
              <w:t>乔木面积(㎡)</w:t>
            </w:r>
          </w:p>
        </w:tc>
        <w:tc>
          <w:tcPr>
            <w:vAlign w:val="center"/>
          </w:tcPr>
          <w:p w14:paraId="0B541DF4">
            <w:r>
              <w:t>1234.65</w:t>
            </w:r>
          </w:p>
        </w:tc>
      </w:tr>
      <w:tr w14:paraId="12153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6A6645">
            <w:r>
              <w:t>亭廊面积(㎡)</w:t>
            </w:r>
          </w:p>
        </w:tc>
        <w:tc>
          <w:tcPr>
            <w:vAlign w:val="center"/>
          </w:tcPr>
          <w:p w14:paraId="6610AB59">
            <w:r>
              <w:t>178.21</w:t>
            </w:r>
          </w:p>
        </w:tc>
      </w:tr>
      <w:tr w14:paraId="39F36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14D70E">
            <w:r>
              <w:t>爬藤棚架面积(㎡)</w:t>
            </w:r>
          </w:p>
        </w:tc>
        <w:tc>
          <w:tcPr>
            <w:vAlign w:val="center"/>
          </w:tcPr>
          <w:p w14:paraId="66BE0C45">
            <w:r>
              <w:t>0.00</w:t>
            </w:r>
          </w:p>
        </w:tc>
      </w:tr>
      <w:tr w14:paraId="346E7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BE524E">
            <w:r>
              <w:t>屋顶绿化面积(㎡)</w:t>
            </w:r>
          </w:p>
        </w:tc>
        <w:tc>
          <w:tcPr>
            <w:vAlign w:val="center"/>
          </w:tcPr>
          <w:p w14:paraId="6369D751">
            <w:r>
              <w:t>0.00</w:t>
            </w:r>
          </w:p>
        </w:tc>
      </w:tr>
      <w:tr w14:paraId="77586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E707C0">
            <w:r>
              <w:t>渗透性硬地面积(㎡)</w:t>
            </w:r>
          </w:p>
        </w:tc>
        <w:tc>
          <w:tcPr>
            <w:vAlign w:val="center"/>
          </w:tcPr>
          <w:p w14:paraId="0B4761F7">
            <w:r>
              <w:t>0.00</w:t>
            </w:r>
          </w:p>
        </w:tc>
      </w:tr>
      <w:tr w14:paraId="393FB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EFF4DA">
            <w:r>
              <w:t>绿化遮阳覆盖率(%)</w:t>
            </w:r>
          </w:p>
        </w:tc>
        <w:tc>
          <w:tcPr>
            <w:vAlign w:val="center"/>
          </w:tcPr>
          <w:p w14:paraId="09819D90">
            <w:r>
              <w:t>20.02</w:t>
            </w:r>
          </w:p>
        </w:tc>
      </w:tr>
      <w:tr w14:paraId="14C28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60E874">
            <w:r>
              <w:t>构筑物遮阳覆盖率(%)</w:t>
            </w:r>
          </w:p>
        </w:tc>
        <w:tc>
          <w:tcPr>
            <w:vAlign w:val="center"/>
          </w:tcPr>
          <w:p w14:paraId="0AC25B9A">
            <w:r>
              <w:t>2.89</w:t>
            </w:r>
          </w:p>
        </w:tc>
      </w:tr>
    </w:tbl>
    <w:p w14:paraId="45D4EF3F">
      <w:pPr>
        <w:pStyle w:val="3"/>
        <w:ind w:firstLine="199" w:firstLineChars="95"/>
        <w:rPr>
          <w:lang w:val="en-US"/>
        </w:rPr>
      </w:pPr>
      <w:bookmarkStart w:id="34" w:name="住区指标概览"/>
      <w:bookmarkEnd w:id="34"/>
    </w:p>
    <w:p w14:paraId="14EB15C9">
      <w:pPr>
        <w:pStyle w:val="2"/>
      </w:pPr>
      <w:bookmarkStart w:id="35" w:name="_Toc24434"/>
      <w:r>
        <w:rPr>
          <w:rFonts w:hint="eastAsia"/>
        </w:rPr>
        <w:t>规定性设计指标</w:t>
      </w:r>
      <w:bookmarkEnd w:id="35"/>
    </w:p>
    <w:p w14:paraId="19AF87F4">
      <w:pPr>
        <w:pStyle w:val="4"/>
      </w:pPr>
      <w:bookmarkStart w:id="36" w:name="_Toc17066"/>
      <w:r>
        <w:rPr>
          <w:rFonts w:hint="eastAsia"/>
        </w:rPr>
        <w:t>底层通风架空率</w:t>
      </w:r>
      <w:bookmarkEnd w:id="36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376B4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FB3E52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4B05C14B"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6942A7C3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7AF66EF9"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3A97B254">
            <w:pPr>
              <w:jc w:val="center"/>
            </w:pPr>
            <w:r>
              <w:t>底层通风架空率(%)</w:t>
            </w:r>
          </w:p>
        </w:tc>
      </w:tr>
      <w:tr w14:paraId="49282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31DC39">
            <w:r>
              <w:t>依据</w:t>
            </w:r>
          </w:p>
        </w:tc>
        <w:tc>
          <w:tcPr>
            <w:gridSpan w:val="4"/>
            <w:vAlign w:val="center"/>
          </w:tcPr>
          <w:p w14:paraId="54B32E7B">
            <w:r>
              <w:t>《城市居住区热环境设计标准》4.1.4条</w:t>
            </w:r>
          </w:p>
        </w:tc>
      </w:tr>
      <w:tr w14:paraId="5FD06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9569EE">
            <w:r>
              <w:t>标准要求</w:t>
            </w:r>
          </w:p>
        </w:tc>
        <w:tc>
          <w:tcPr>
            <w:gridSpan w:val="4"/>
            <w:vAlign w:val="center"/>
          </w:tcPr>
          <w:p w14:paraId="21C41ED6">
            <w:r>
              <w:t>III、IV、V气候区，夏季主导风向迎风面积宽度超过80m时，底层通风架空率不应小于10%</w:t>
            </w:r>
          </w:p>
        </w:tc>
      </w:tr>
      <w:tr w14:paraId="66D1C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8C849E">
            <w:r>
              <w:t>结论</w:t>
            </w:r>
          </w:p>
        </w:tc>
        <w:tc>
          <w:tcPr>
            <w:gridSpan w:val="4"/>
            <w:vAlign w:val="center"/>
          </w:tcPr>
          <w:p w14:paraId="3163BF3C">
            <w:r>
              <w:t>满足</w:t>
            </w:r>
          </w:p>
        </w:tc>
      </w:tr>
    </w:tbl>
    <w:p w14:paraId="7DFF5D80">
      <w:pPr>
        <w:pStyle w:val="3"/>
        <w:ind w:firstLine="420"/>
        <w:rPr>
          <w:lang w:val="en-US"/>
        </w:rPr>
      </w:pPr>
      <w:bookmarkStart w:id="37" w:name="底层通风架空率"/>
      <w:bookmarkEnd w:id="37"/>
    </w:p>
    <w:p w14:paraId="48B2EABD">
      <w:pPr>
        <w:pStyle w:val="4"/>
      </w:pPr>
      <w:bookmarkStart w:id="38" w:name="_Toc15896"/>
      <w:r>
        <w:rPr>
          <w:rFonts w:hint="eastAsia"/>
        </w:rPr>
        <w:t>绿化遮阳体叶面积指数</w:t>
      </w:r>
      <w:bookmarkEnd w:id="38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7290A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D342BB"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50A377F3"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23914DD7">
            <w:pPr>
              <w:jc w:val="center"/>
            </w:pPr>
            <w:r>
              <w:t>面积(㎡)</w:t>
            </w:r>
          </w:p>
        </w:tc>
      </w:tr>
      <w:tr w14:paraId="72BBD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8F0110E">
            <w:r>
              <w:t>乔木</w:t>
            </w:r>
          </w:p>
        </w:tc>
        <w:tc>
          <w:tcPr>
            <w:vAlign w:val="center"/>
          </w:tcPr>
          <w:p w14:paraId="44820B15">
            <w:r>
              <w:t>LAI &gt;= 3</w:t>
            </w:r>
          </w:p>
        </w:tc>
        <w:tc>
          <w:tcPr>
            <w:vAlign w:val="center"/>
          </w:tcPr>
          <w:p w14:paraId="2785B204">
            <w:r>
              <w:t>1235</w:t>
            </w:r>
          </w:p>
        </w:tc>
      </w:tr>
      <w:tr w14:paraId="14B6A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3A3A443"/>
        </w:tc>
        <w:tc>
          <w:tcPr>
            <w:vAlign w:val="center"/>
          </w:tcPr>
          <w:p w14:paraId="7D0AB89E">
            <w:r>
              <w:t>LAI &lt; 3</w:t>
            </w:r>
          </w:p>
        </w:tc>
        <w:tc>
          <w:tcPr>
            <w:vAlign w:val="center"/>
          </w:tcPr>
          <w:p w14:paraId="58629833">
            <w:r>
              <w:t>0</w:t>
            </w:r>
          </w:p>
        </w:tc>
      </w:tr>
      <w:tr w14:paraId="0A3B9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63784E8">
            <w:r>
              <w:t>爬藤棚架</w:t>
            </w:r>
          </w:p>
        </w:tc>
        <w:tc>
          <w:tcPr>
            <w:vAlign w:val="center"/>
          </w:tcPr>
          <w:p w14:paraId="35601E8F">
            <w:r>
              <w:t>LAI &gt;= 3</w:t>
            </w:r>
          </w:p>
        </w:tc>
        <w:tc>
          <w:tcPr>
            <w:vAlign w:val="center"/>
          </w:tcPr>
          <w:p w14:paraId="56AF2D00">
            <w:r>
              <w:t>0</w:t>
            </w:r>
          </w:p>
        </w:tc>
      </w:tr>
      <w:tr w14:paraId="5B57D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90BDEAD"/>
        </w:tc>
        <w:tc>
          <w:tcPr>
            <w:vAlign w:val="center"/>
          </w:tcPr>
          <w:p w14:paraId="766B0A5E">
            <w:r>
              <w:t>LAI &lt; 3</w:t>
            </w:r>
          </w:p>
        </w:tc>
        <w:tc>
          <w:tcPr>
            <w:vAlign w:val="center"/>
          </w:tcPr>
          <w:p w14:paraId="15AC7ADA">
            <w:r>
              <w:t>0</w:t>
            </w:r>
          </w:p>
        </w:tc>
      </w:tr>
      <w:tr w14:paraId="2BCA5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DC7CE6">
            <w:r>
              <w:t>依据</w:t>
            </w:r>
          </w:p>
        </w:tc>
        <w:tc>
          <w:tcPr>
            <w:gridSpan w:val="2"/>
            <w:vAlign w:val="center"/>
          </w:tcPr>
          <w:p w14:paraId="7D08414C">
            <w:r>
              <w:t>《城市居住区热环境设计标准》4.2.3条</w:t>
            </w:r>
          </w:p>
        </w:tc>
      </w:tr>
      <w:tr w14:paraId="49900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7A8583">
            <w:r>
              <w:t>标准要求</w:t>
            </w:r>
          </w:p>
        </w:tc>
        <w:tc>
          <w:tcPr>
            <w:gridSpan w:val="2"/>
            <w:vAlign w:val="center"/>
          </w:tcPr>
          <w:p w14:paraId="42F4DD45">
            <w:r>
              <w:t>绿化遮阳体叶面积指数不应小于3.0</w:t>
            </w:r>
          </w:p>
        </w:tc>
      </w:tr>
      <w:tr w14:paraId="00C55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08F853">
            <w:r>
              <w:t>结论</w:t>
            </w:r>
          </w:p>
        </w:tc>
        <w:tc>
          <w:tcPr>
            <w:gridSpan w:val="2"/>
            <w:vAlign w:val="center"/>
          </w:tcPr>
          <w:p w14:paraId="7BD5D9C6">
            <w:r>
              <w:t>满足</w:t>
            </w:r>
          </w:p>
        </w:tc>
      </w:tr>
    </w:tbl>
    <w:p w14:paraId="12E43C97">
      <w:pPr>
        <w:pStyle w:val="3"/>
        <w:ind w:firstLine="420"/>
        <w:rPr>
          <w:lang w:val="en-US"/>
        </w:rPr>
      </w:pPr>
      <w:bookmarkStart w:id="39" w:name="绿化遮阳体叶面积指数"/>
      <w:bookmarkEnd w:id="39"/>
    </w:p>
    <w:p w14:paraId="58F51DDB">
      <w:pPr>
        <w:pStyle w:val="4"/>
      </w:pPr>
      <w:bookmarkStart w:id="40" w:name="_Toc24183"/>
      <w:r>
        <w:rPr>
          <w:rFonts w:hint="eastAsia"/>
        </w:rPr>
        <w:t>渗透蒸发指标</w:t>
      </w:r>
      <w:bookmarkEnd w:id="40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4BDDE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2484B0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1B61BA6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2BF97F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72145DA"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00A05195"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 w14:paraId="36B66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F948B6">
            <w:r>
              <w:t>合计</w:t>
            </w:r>
          </w:p>
        </w:tc>
        <w:tc>
          <w:tcPr>
            <w:vAlign w:val="center"/>
          </w:tcPr>
          <w:p w14:paraId="78CDB5BD">
            <w:r>
              <w:t>0</w:t>
            </w:r>
          </w:p>
        </w:tc>
        <w:tc>
          <w:tcPr>
            <w:vAlign w:val="center"/>
          </w:tcPr>
          <w:p w14:paraId="6F485C04">
            <w:r>
              <w:t>0.0</w:t>
            </w:r>
          </w:p>
        </w:tc>
        <w:tc>
          <w:tcPr>
            <w:vAlign w:val="center"/>
          </w:tcPr>
          <w:p w14:paraId="49B502A9">
            <w:r>
              <w:t>0.00</w:t>
            </w:r>
          </w:p>
        </w:tc>
        <w:tc>
          <w:tcPr>
            <w:vAlign w:val="center"/>
          </w:tcPr>
          <w:p w14:paraId="30C39F8B">
            <w:r>
              <w:t>0.00</w:t>
            </w:r>
          </w:p>
        </w:tc>
      </w:tr>
    </w:tbl>
    <w:p w14:paraId="4E8752D1">
      <w:pPr>
        <w:pStyle w:val="3"/>
        <w:ind w:firstLine="420"/>
        <w:rPr>
          <w:lang w:val="en-US"/>
        </w:rPr>
      </w:pPr>
      <w:bookmarkStart w:id="41" w:name="渗透蒸发指标"/>
      <w:bookmarkEnd w:id="4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687FC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88FE7A1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328339CB"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38032413">
            <w:pPr>
              <w:jc w:val="center"/>
            </w:pPr>
            <w:r>
              <w:t>限值(%)</w:t>
            </w:r>
          </w:p>
        </w:tc>
      </w:tr>
      <w:tr w14:paraId="24AFA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32C6A835">
            <w:pPr>
              <w:jc w:val="center"/>
            </w:pPr>
            <w:r>
              <w:t>渗透与蒸发指标</w:t>
            </w:r>
          </w:p>
        </w:tc>
      </w:tr>
      <w:tr w14:paraId="21A93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1E29F008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36773CEF"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 w14:paraId="6FABCDA9">
            <w:pPr>
              <w:jc w:val="center"/>
            </w:pPr>
            <w:r>
              <w:t>限值</w:t>
            </w:r>
          </w:p>
        </w:tc>
      </w:tr>
      <w:tr w14:paraId="71E90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7DA21FD9">
            <w:r>
              <w:t>地面透水系数k(mm/s)</w:t>
            </w:r>
          </w:p>
        </w:tc>
        <w:tc>
          <w:tcPr>
            <w:vAlign w:val="center"/>
          </w:tcPr>
          <w:p w14:paraId="2E176583">
            <w:r>
              <w:rPr>
                <w:color w:val="FF0000"/>
              </w:rPr>
              <w:t>0.00</w:t>
            </w:r>
          </w:p>
        </w:tc>
        <w:tc>
          <w:tcPr>
            <w:vAlign w:val="center"/>
          </w:tcPr>
          <w:p w14:paraId="6DF85CCC">
            <w:r>
              <w:t>3</w:t>
            </w:r>
          </w:p>
        </w:tc>
      </w:tr>
      <w:tr w14:paraId="0420E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47DD9636">
            <w:r>
              <w:t>蒸发量m(kg/(㎡·d))</w:t>
            </w:r>
          </w:p>
        </w:tc>
        <w:tc>
          <w:tcPr>
            <w:vAlign w:val="center"/>
          </w:tcPr>
          <w:p w14:paraId="12DF96C2">
            <w:r>
              <w:rPr>
                <w:color w:val="FF0000"/>
              </w:rPr>
              <w:t>0.00</w:t>
            </w:r>
          </w:p>
        </w:tc>
        <w:tc>
          <w:tcPr>
            <w:vAlign w:val="center"/>
          </w:tcPr>
          <w:p w14:paraId="289C5F4A">
            <w:r>
              <w:t>1.6</w:t>
            </w:r>
          </w:p>
        </w:tc>
      </w:tr>
      <w:tr w14:paraId="32E52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3C9F41AA">
            <w:r>
              <w:t>依据</w:t>
            </w:r>
          </w:p>
        </w:tc>
        <w:tc>
          <w:tcPr>
            <w:gridSpan w:val="2"/>
            <w:vAlign w:val="center"/>
          </w:tcPr>
          <w:p w14:paraId="43637C05">
            <w:r>
              <w:t>《城市居住区热环境设计标准》4.3.1条</w:t>
            </w:r>
          </w:p>
        </w:tc>
      </w:tr>
      <w:tr w14:paraId="342CB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6C6519B">
            <w:r>
              <w:t>标准要求</w:t>
            </w:r>
          </w:p>
        </w:tc>
        <w:tc>
          <w:tcPr>
            <w:gridSpan w:val="2"/>
            <w:vAlign w:val="center"/>
          </w:tcPr>
          <w:p w14:paraId="1E73786F">
            <w:r>
              <w:t>渗透面积比率、透水系数及蒸发量不应低于标准规定限值</w:t>
            </w:r>
          </w:p>
        </w:tc>
      </w:tr>
      <w:tr w14:paraId="57141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0EE64151">
            <w:r>
              <w:t>结论</w:t>
            </w:r>
          </w:p>
        </w:tc>
        <w:tc>
          <w:tcPr>
            <w:gridSpan w:val="2"/>
            <w:vAlign w:val="center"/>
          </w:tcPr>
          <w:p w14:paraId="4F08BB2C">
            <w:r>
              <w:rPr>
                <w:color w:val="FF0000"/>
              </w:rPr>
              <w:t>不满足</w:t>
            </w:r>
          </w:p>
        </w:tc>
      </w:tr>
    </w:tbl>
    <w:p w14:paraId="38810A39">
      <w:pPr>
        <w:pStyle w:val="3"/>
        <w:ind w:firstLine="420"/>
        <w:rPr>
          <w:lang w:val="en-US"/>
        </w:rPr>
      </w:pPr>
    </w:p>
    <w:p w14:paraId="4971EE92">
      <w:pPr>
        <w:pStyle w:val="4"/>
      </w:pPr>
      <w:bookmarkStart w:id="42" w:name="_Toc32657"/>
      <w:r>
        <w:rPr>
          <w:rFonts w:hint="eastAsia"/>
        </w:rPr>
        <w:t>屋面绿化率</w:t>
      </w:r>
      <w:bookmarkEnd w:id="4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69CD5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15A50B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4B8E32E8"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152A95FA"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223D3813"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168A9BB">
            <w:pPr>
              <w:jc w:val="center"/>
            </w:pPr>
            <w:r>
              <w:t>屋面绿化率(%)</w:t>
            </w:r>
          </w:p>
        </w:tc>
      </w:tr>
      <w:tr w14:paraId="42004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976302">
            <w:r>
              <w:t>合计</w:t>
            </w:r>
          </w:p>
        </w:tc>
        <w:tc>
          <w:tcPr>
            <w:vAlign w:val="center"/>
          </w:tcPr>
          <w:p w14:paraId="59B8EA45">
            <w:r>
              <w:t>0.0</w:t>
            </w:r>
          </w:p>
        </w:tc>
        <w:tc>
          <w:tcPr>
            <w:vAlign w:val="center"/>
          </w:tcPr>
          <w:p w14:paraId="29A64AED">
            <w:r>
              <w:t>0.0</w:t>
            </w:r>
          </w:p>
        </w:tc>
        <w:tc>
          <w:tcPr>
            <w:vAlign w:val="center"/>
          </w:tcPr>
          <w:p w14:paraId="3F22B9AA">
            <w:r>
              <w:t>0.0</w:t>
            </w:r>
          </w:p>
        </w:tc>
        <w:tc>
          <w:tcPr>
            <w:vAlign w:val="center"/>
          </w:tcPr>
          <w:p w14:paraId="74C9AC74">
            <w:r>
              <w:t>0</w:t>
            </w:r>
          </w:p>
        </w:tc>
      </w:tr>
      <w:tr w14:paraId="0F163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763E4B">
            <w:r>
              <w:t>依据</w:t>
            </w:r>
          </w:p>
        </w:tc>
        <w:tc>
          <w:tcPr>
            <w:gridSpan w:val="4"/>
            <w:vAlign w:val="center"/>
          </w:tcPr>
          <w:p w14:paraId="1140A2CC">
            <w:r>
              <w:t>《城市居住区热环境设计标准》4.4.2条</w:t>
            </w:r>
          </w:p>
        </w:tc>
      </w:tr>
      <w:tr w14:paraId="26E15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2E2441">
            <w:r>
              <w:t>标准要求</w:t>
            </w:r>
          </w:p>
        </w:tc>
        <w:tc>
          <w:tcPr>
            <w:gridSpan w:val="4"/>
            <w:vAlign w:val="center"/>
          </w:tcPr>
          <w:p w14:paraId="020C60F1">
            <w:r>
              <w:t>建筑屋面的绿化面积不应低于可绿化屋面面积的50%</w:t>
            </w:r>
          </w:p>
        </w:tc>
      </w:tr>
      <w:tr w14:paraId="68CDA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2480D5">
            <w:r>
              <w:t>结论</w:t>
            </w:r>
          </w:p>
        </w:tc>
        <w:tc>
          <w:tcPr>
            <w:gridSpan w:val="4"/>
            <w:vAlign w:val="center"/>
          </w:tcPr>
          <w:p w14:paraId="4CE74831">
            <w:r>
              <w:t>满足</w:t>
            </w:r>
          </w:p>
        </w:tc>
      </w:tr>
    </w:tbl>
    <w:p w14:paraId="32DA23EB">
      <w:pPr>
        <w:pStyle w:val="3"/>
        <w:ind w:firstLine="420"/>
        <w:rPr>
          <w:lang w:val="en-US"/>
        </w:rPr>
      </w:pPr>
      <w:bookmarkStart w:id="43" w:name="屋面绿化率"/>
      <w:bookmarkEnd w:id="43"/>
    </w:p>
    <w:p w14:paraId="75A0AFC8">
      <w:pPr>
        <w:pStyle w:val="2"/>
      </w:pPr>
      <w:bookmarkStart w:id="44" w:name="_Toc10002"/>
      <w:r>
        <w:rPr>
          <w:rFonts w:hint="eastAsia"/>
        </w:rPr>
        <w:t>结论</w:t>
      </w:r>
      <w:bookmarkEnd w:id="44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6EB7C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30847B73">
            <w:pPr>
              <w:jc w:val="center"/>
            </w:pPr>
            <w:bookmarkStart w:id="45" w:name="结论"/>
            <w:bookmarkEnd w:id="45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580C4EA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0F328E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A133A7E">
            <w:pPr>
              <w:jc w:val="center"/>
            </w:pPr>
            <w:r>
              <w:t>备注</w:t>
            </w:r>
          </w:p>
        </w:tc>
      </w:tr>
      <w:tr w14:paraId="58700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7A28CAF">
            <w:r>
              <w:t>规定性设计</w:t>
            </w:r>
          </w:p>
        </w:tc>
        <w:tc>
          <w:tcPr>
            <w:tcW w:w="2800" w:type="dxa"/>
            <w:vAlign w:val="center"/>
          </w:tcPr>
          <w:p w14:paraId="11FC09C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0D1059A9">
            <w:bookmarkStart w:id="46" w:name="底层通风架空率结论"/>
            <w:r>
              <w:t>满足</w:t>
            </w:r>
            <w:bookmarkEnd w:id="46"/>
          </w:p>
        </w:tc>
        <w:tc>
          <w:tcPr>
            <w:tcW w:w="2800" w:type="dxa"/>
            <w:vMerge w:val="restart"/>
            <w:vAlign w:val="center"/>
          </w:tcPr>
          <w:p w14:paraId="474C629D">
            <w:r>
              <w:t>不满足任意一条时，进行评价性设计</w:t>
            </w:r>
          </w:p>
        </w:tc>
      </w:tr>
      <w:tr w14:paraId="6113B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BBE8C1F"/>
        </w:tc>
        <w:tc>
          <w:tcPr>
            <w:tcW w:w="2800" w:type="dxa"/>
            <w:vAlign w:val="center"/>
          </w:tcPr>
          <w:p w14:paraId="38127135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68DBFF8">
            <w:bookmarkStart w:id="47" w:name="绿化遮阳体叶面积指数结论"/>
            <w:r>
              <w:t>满足</w:t>
            </w:r>
            <w:bookmarkEnd w:id="47"/>
          </w:p>
        </w:tc>
        <w:tc>
          <w:tcPr>
            <w:tcW w:w="2800" w:type="dxa"/>
            <w:vMerge w:val="continue"/>
            <w:vAlign w:val="center"/>
          </w:tcPr>
          <w:p w14:paraId="770A4C08"/>
        </w:tc>
      </w:tr>
      <w:tr w14:paraId="1A2BA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D9052DA"/>
        </w:tc>
        <w:tc>
          <w:tcPr>
            <w:tcW w:w="2800" w:type="dxa"/>
            <w:vAlign w:val="center"/>
          </w:tcPr>
          <w:p w14:paraId="34C75D59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5F54E53D">
            <w:bookmarkStart w:id="48" w:name="渗透蒸发指标结论"/>
            <w:r>
              <w:rPr>
                <w:color w:val="FF0000"/>
              </w:rPr>
              <w:t>不满足</w:t>
            </w:r>
            <w:bookmarkEnd w:id="48"/>
          </w:p>
        </w:tc>
        <w:tc>
          <w:tcPr>
            <w:tcW w:w="2800" w:type="dxa"/>
            <w:vMerge w:val="continue"/>
            <w:vAlign w:val="center"/>
          </w:tcPr>
          <w:p w14:paraId="56EB410E"/>
        </w:tc>
      </w:tr>
      <w:tr w14:paraId="08838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17792387"/>
        </w:tc>
        <w:tc>
          <w:tcPr>
            <w:tcW w:w="2800" w:type="dxa"/>
            <w:vAlign w:val="center"/>
          </w:tcPr>
          <w:p w14:paraId="1D54A778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3A96DA0">
            <w:bookmarkStart w:id="49" w:name="屋面绿化率结论"/>
            <w:r>
              <w:t>满足</w:t>
            </w:r>
            <w:bookmarkEnd w:id="49"/>
          </w:p>
        </w:tc>
        <w:tc>
          <w:tcPr>
            <w:tcW w:w="2800" w:type="dxa"/>
            <w:vMerge w:val="continue"/>
            <w:vAlign w:val="center"/>
          </w:tcPr>
          <w:p w14:paraId="25DF7475"/>
        </w:tc>
      </w:tr>
      <w:tr w14:paraId="49C7C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387DD2E0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E0FA8B3">
            <w:pPr>
              <w:rPr>
                <w:b/>
              </w:rPr>
            </w:pPr>
            <w:bookmarkStart w:id="50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0"/>
          </w:p>
        </w:tc>
      </w:tr>
    </w:tbl>
    <w:p w14:paraId="100D5C52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278C5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</w:t>
    </w:r>
    <w:r>
      <w:fldChar w:fldCharType="end"/>
    </w:r>
  </w:p>
  <w:p w14:paraId="55300C9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067FA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 w14:paraId="56D1A388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A94D9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6</w:t>
    </w:r>
    <w:r>
      <w:rPr>
        <w:rStyle w:val="24"/>
      </w:rPr>
      <w:fldChar w:fldCharType="end"/>
    </w:r>
  </w:p>
  <w:p w14:paraId="0E7D4823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222F6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6764423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93F29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E430B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A74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DB5FEC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84092"/>
    <w:rsid w:val="000A30EF"/>
    <w:rsid w:val="000B10AF"/>
    <w:rsid w:val="000B2169"/>
    <w:rsid w:val="000B2FE8"/>
    <w:rsid w:val="000C587B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2938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45189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4081"/>
    <w:rsid w:val="0072017E"/>
    <w:rsid w:val="0072152D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47C4B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1BF6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4FB9"/>
    <w:rsid w:val="00BA50C0"/>
    <w:rsid w:val="00BA63DA"/>
    <w:rsid w:val="00BB1C06"/>
    <w:rsid w:val="00BC24EE"/>
    <w:rsid w:val="00BD489D"/>
    <w:rsid w:val="00BD4A14"/>
    <w:rsid w:val="00BD7A3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04613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76B5D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25EFC"/>
    <w:rsid w:val="00F312DB"/>
    <w:rsid w:val="00F4565A"/>
    <w:rsid w:val="00F4695E"/>
    <w:rsid w:val="00F7510E"/>
    <w:rsid w:val="00F75DD1"/>
    <w:rsid w:val="00F86A2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  <w:rsid w:val="2ADB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qFormat/>
    <w:uiPriority w:val="0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27">
    <w:name w:val="页眉 字符"/>
    <w:basedOn w:val="22"/>
    <w:link w:val="15"/>
    <w:qFormat/>
    <w:uiPriority w:val="0"/>
    <w:rPr>
      <w:sz w:val="21"/>
      <w:szCs w:val="18"/>
      <w:lang w:val="en-GB"/>
    </w:rPr>
  </w:style>
  <w:style w:type="table" w:customStyle="1" w:styleId="28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5925;&#37324;&#25342;&#28165;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8</Pages>
  <Words>1632</Words>
  <Characters>2627</Characters>
  <Lines>274</Lines>
  <Paragraphs>283</Paragraphs>
  <TotalTime>0</TotalTime>
  <ScaleCrop>false</ScaleCrop>
  <LinksUpToDate>false</LinksUpToDate>
  <CharactersWithSpaces>3568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2026-01-02T11:38:00Z</dcterms:created>
  <dc:creator>张宇晖</dc:creator>
  <cp:lastModifiedBy>张宇晖</cp:lastModifiedBy>
  <dcterms:modified xsi:type="dcterms:W3CDTF">2026-01-02T11:39:21Z</dcterms:modified>
  <dc:title>住区热环境规定性设计计算书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FF83F5F432584060AB8F19710A133917_11</vt:lpwstr>
  </property>
  <property fmtid="{D5CDD505-2E9C-101B-9397-08002B2CF9AE}" pid="3" name="KSOTemplateDocerSaveRecord">
    <vt:lpwstr>eyJoZGlkIjoiZjNhNDFmMDVlYzEyMTA1MzQ3MmJiOGM1MGEyZTQ5ZjkiLCJ1c2VySWQiOiIxNzYyOTM0Mjg4In0=</vt:lpwstr>
  </property>
  <property fmtid="{D5CDD505-2E9C-101B-9397-08002B2CF9AE}" pid="4" name="KSOProductBuildVer">
    <vt:lpwstr>2052-12.1.0.24031</vt:lpwstr>
  </property>
</Properties>
</file>