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旧馆新厅——基于低碳共生改造的公共图书馆设计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0584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0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业主单位：河南工业大学建筑学院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设计单位：河南工业大学建筑学院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咨询单位：河南工业大学建筑学院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项目地址：河南工业大学嵩山路校区图书馆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项目名称：旧馆新厅——基于低碳共生改造的公共图书馆设计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围护结构提高7%或负荷降低3%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全寿命期单位建筑面积碳排放强为39.28kgCO2/（m2·a）减碳率36.25%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