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9292" w14:textId="62F7DB23" w:rsidR="00466531" w:rsidRPr="00466531" w:rsidRDefault="00466531" w:rsidP="00466531">
      <w:pPr>
        <w:rPr>
          <w:sz w:val="48"/>
          <w:szCs w:val="48"/>
        </w:rPr>
      </w:pPr>
      <w:r w:rsidRPr="00466531">
        <w:rPr>
          <w:sz w:val="48"/>
          <w:szCs w:val="48"/>
        </w:rPr>
        <w:t>霍邱县冯井镇蝎子山游客中心绿色建筑改造工程</w:t>
      </w:r>
      <w:proofErr w:type="gramStart"/>
      <w:r w:rsidRPr="00466531">
        <w:rPr>
          <w:sz w:val="48"/>
          <w:szCs w:val="48"/>
        </w:rPr>
        <w:t>围护结构防结露</w:t>
      </w:r>
      <w:proofErr w:type="gramEnd"/>
      <w:r w:rsidRPr="00466531">
        <w:rPr>
          <w:sz w:val="48"/>
          <w:szCs w:val="48"/>
        </w:rPr>
        <w:t>验算报告</w:t>
      </w:r>
    </w:p>
    <w:p w14:paraId="5C8EAAC5" w14:textId="77777777" w:rsidR="00466531" w:rsidRPr="00466531" w:rsidRDefault="00466531" w:rsidP="00466531">
      <w:r w:rsidRPr="00466531">
        <w:rPr>
          <w:b/>
          <w:bCs/>
        </w:rPr>
        <w:t>依据标准</w:t>
      </w:r>
      <w:r w:rsidRPr="00466531">
        <w:t>：GB 50176-2016《民用建筑热工设计规范》、GB 50736-2012《民用建筑供暖通风与空气调节设计规范》、GB 55015-2021《建筑节能与可再生能源利用通用规范》</w:t>
      </w:r>
    </w:p>
    <w:p w14:paraId="683A3901" w14:textId="77777777" w:rsidR="00466531" w:rsidRPr="00466531" w:rsidRDefault="00466531" w:rsidP="00466531">
      <w:r w:rsidRPr="00466531">
        <w:rPr>
          <w:b/>
          <w:bCs/>
        </w:rPr>
        <w:t>工程概况</w:t>
      </w:r>
      <w:r w:rsidRPr="00466531">
        <w:t>：本项目为地上 3 层框架结构公共建筑，建筑面积 1825㎡，地处夏热冬冷 A 区（六安霍邱），围护结构含屋顶、外墙、外门窗（幕墙）、地面、楼板等，本次针对冬季采暖期围护结构内表面温度进行验算，验证是否</w:t>
      </w:r>
      <w:proofErr w:type="gramStart"/>
      <w:r w:rsidRPr="00466531">
        <w:t>满足防结露</w:t>
      </w:r>
      <w:proofErr w:type="gramEnd"/>
      <w:r w:rsidRPr="00466531">
        <w:t>要求。</w:t>
      </w:r>
    </w:p>
    <w:p w14:paraId="1CA9DBB8" w14:textId="77777777" w:rsidR="00466531" w:rsidRPr="00466531" w:rsidRDefault="00466531" w:rsidP="00466531">
      <w:r w:rsidRPr="00466531">
        <w:t>一、验算原则与判定依据</w:t>
      </w:r>
    </w:p>
    <w:p w14:paraId="3B5EDB17" w14:textId="77777777" w:rsidR="00466531" w:rsidRPr="00466531" w:rsidRDefault="00466531" w:rsidP="00466531">
      <w:pPr>
        <w:numPr>
          <w:ilvl w:val="0"/>
          <w:numId w:val="1"/>
        </w:numPr>
      </w:pPr>
      <w:r w:rsidRPr="00466531">
        <w:rPr>
          <w:b/>
          <w:bCs/>
        </w:rPr>
        <w:t>验算核心</w:t>
      </w:r>
      <w:r w:rsidRPr="00466531">
        <w:t>：计算冬季采暖工况下围护结构内表面温度，对比室内空气露点温度，内表面温度</w:t>
      </w:r>
      <w:r w:rsidRPr="00466531">
        <w:rPr>
          <w:b/>
          <w:bCs/>
        </w:rPr>
        <w:t>高于</w:t>
      </w:r>
      <w:r w:rsidRPr="00466531">
        <w:t>露点温度则不结露，</w:t>
      </w:r>
      <w:proofErr w:type="gramStart"/>
      <w:r w:rsidRPr="00466531">
        <w:t>满足防结露</w:t>
      </w:r>
      <w:proofErr w:type="gramEnd"/>
      <w:r w:rsidRPr="00466531">
        <w:t>要求；</w:t>
      </w:r>
    </w:p>
    <w:p w14:paraId="4107D281" w14:textId="77777777" w:rsidR="00466531" w:rsidRPr="00466531" w:rsidRDefault="00466531" w:rsidP="00466531">
      <w:pPr>
        <w:numPr>
          <w:ilvl w:val="0"/>
          <w:numId w:val="1"/>
        </w:numPr>
      </w:pPr>
      <w:r w:rsidRPr="00466531">
        <w:rPr>
          <w:b/>
          <w:bCs/>
        </w:rPr>
        <w:t>判定公式</w:t>
      </w:r>
      <w:r w:rsidRPr="00466531">
        <w:t>：</w:t>
      </w:r>
      <w:proofErr w:type="spellStart"/>
      <w:r w:rsidRPr="00466531">
        <w:t>tni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&gt;</w:t>
      </w:r>
      <w:proofErr w:type="spellStart"/>
      <w:r w:rsidRPr="00466531">
        <w:t>tld</w:t>
      </w:r>
      <w:proofErr w:type="spellEnd"/>
      <w:r w:rsidRPr="00466531">
        <w:rPr>
          <w:rFonts w:ascii="Times New Roman" w:hAnsi="Times New Roman" w:cs="Times New Roman"/>
        </w:rPr>
        <w:t>​</w:t>
      </w:r>
    </w:p>
    <w:p w14:paraId="64236DD6" w14:textId="77777777" w:rsidR="00466531" w:rsidRPr="00466531" w:rsidRDefault="00466531" w:rsidP="00466531">
      <w:pPr>
        <w:numPr>
          <w:ilvl w:val="1"/>
          <w:numId w:val="1"/>
        </w:numPr>
      </w:pPr>
      <w:proofErr w:type="spellStart"/>
      <w:r w:rsidRPr="00466531">
        <w:t>tni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：围护结构内表面计算温度（℃）</w:t>
      </w:r>
    </w:p>
    <w:p w14:paraId="3E3995D1" w14:textId="77777777" w:rsidR="00466531" w:rsidRPr="00466531" w:rsidRDefault="00466531" w:rsidP="00466531">
      <w:pPr>
        <w:numPr>
          <w:ilvl w:val="1"/>
          <w:numId w:val="1"/>
        </w:numPr>
      </w:pPr>
      <w:proofErr w:type="spellStart"/>
      <w:r w:rsidRPr="00466531">
        <w:t>tld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：室内空气露点温度（℃）</w:t>
      </w:r>
    </w:p>
    <w:p w14:paraId="42353C0E" w14:textId="77777777" w:rsidR="00466531" w:rsidRPr="00466531" w:rsidRDefault="00466531" w:rsidP="00466531">
      <w:pPr>
        <w:numPr>
          <w:ilvl w:val="0"/>
          <w:numId w:val="1"/>
        </w:numPr>
      </w:pPr>
      <w:r w:rsidRPr="00466531">
        <w:rPr>
          <w:b/>
          <w:bCs/>
        </w:rPr>
        <w:t>计算参数</w:t>
      </w:r>
      <w:r w:rsidRPr="00466531">
        <w:t>：按夏热冬</w:t>
      </w:r>
      <w:proofErr w:type="gramStart"/>
      <w:r w:rsidRPr="00466531">
        <w:t>冷地区</w:t>
      </w:r>
      <w:proofErr w:type="gramEnd"/>
      <w:r w:rsidRPr="00466531">
        <w:t>冬季室外计算温度、室内采暖设计温湿度取值，围护结构热工参数采用本项目主体与围护结构计算书核定值。</w:t>
      </w:r>
    </w:p>
    <w:p w14:paraId="0F4DC9B8" w14:textId="77777777" w:rsidR="00466531" w:rsidRPr="00466531" w:rsidRDefault="00466531" w:rsidP="00466531">
      <w:r w:rsidRPr="00466531">
        <w:t>二、验算基础参数</w:t>
      </w:r>
    </w:p>
    <w:p w14:paraId="36404926" w14:textId="77777777" w:rsidR="00466531" w:rsidRPr="00466531" w:rsidRDefault="00466531" w:rsidP="00466531">
      <w:r w:rsidRPr="00466531">
        <w:t>（一）室外气象参数（六安霍邱，夏热冬冷 A 区）</w:t>
      </w:r>
    </w:p>
    <w:p w14:paraId="5B42FE36" w14:textId="77777777" w:rsidR="00466531" w:rsidRPr="00466531" w:rsidRDefault="00466531" w:rsidP="00466531">
      <w:r w:rsidRPr="00466531">
        <w:t>冬季室外计算温度</w:t>
      </w:r>
      <w:proofErr w:type="spellStart"/>
      <w:r w:rsidRPr="00466531">
        <w:t>te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：</w:t>
      </w:r>
      <w:r w:rsidRPr="00466531">
        <w:rPr>
          <w:b/>
          <w:bCs/>
        </w:rPr>
        <w:t>-3℃</w:t>
      </w:r>
      <w:r w:rsidRPr="00466531">
        <w:t>；冬季室外平均相对湿度：65%。</w:t>
      </w:r>
    </w:p>
    <w:p w14:paraId="341F3B6E" w14:textId="77777777" w:rsidR="00466531" w:rsidRPr="00466531" w:rsidRDefault="00466531" w:rsidP="00466531">
      <w:r w:rsidRPr="00466531">
        <w:t>（二）室内设计参数（采暖工况）</w:t>
      </w:r>
    </w:p>
    <w:p w14:paraId="2D37AE53" w14:textId="77777777" w:rsidR="00466531" w:rsidRPr="00466531" w:rsidRDefault="00466531" w:rsidP="00466531">
      <w:r w:rsidRPr="00466531">
        <w:t>按项目暖通设计参数取值，核心功能区域统一取值如下，特殊区域单独标注：</w:t>
      </w:r>
    </w:p>
    <w:p w14:paraId="4C2764F1" w14:textId="77777777" w:rsidR="00466531" w:rsidRPr="00466531" w:rsidRDefault="00466531" w:rsidP="00466531">
      <w:r w:rsidRPr="00466531">
        <w:t>室内计算温度</w:t>
      </w:r>
      <w:proofErr w:type="spellStart"/>
      <w:r w:rsidRPr="00466531">
        <w:t>tn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：</w:t>
      </w:r>
      <w:r w:rsidRPr="00466531">
        <w:rPr>
          <w:b/>
          <w:bCs/>
        </w:rPr>
        <w:t>20℃</w:t>
      </w:r>
      <w:r w:rsidRPr="00466531">
        <w:t>；室内相对湿度 φ：</w:t>
      </w:r>
      <w:r w:rsidRPr="00466531">
        <w:rPr>
          <w:b/>
          <w:bCs/>
        </w:rPr>
        <w:t>40%</w:t>
      </w:r>
      <w:r w:rsidRPr="00466531">
        <w:t>；</w:t>
      </w:r>
    </w:p>
    <w:p w14:paraId="1E5853A2" w14:textId="77777777" w:rsidR="00466531" w:rsidRPr="00466531" w:rsidRDefault="00466531" w:rsidP="00466531">
      <w:r w:rsidRPr="00466531">
        <w:t>室内空气露点温度</w:t>
      </w:r>
      <w:proofErr w:type="spellStart"/>
      <w:r w:rsidRPr="00466531">
        <w:t>tld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：经计算为</w:t>
      </w:r>
      <w:r w:rsidRPr="00466531">
        <w:rPr>
          <w:b/>
          <w:bCs/>
        </w:rPr>
        <w:t>5.3℃</w:t>
      </w:r>
      <w:r w:rsidRPr="00466531">
        <w:t>（φ=40%、</w:t>
      </w:r>
      <w:proofErr w:type="spellStart"/>
      <w:r w:rsidRPr="00466531">
        <w:t>tn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=20℃工况下）。</w:t>
      </w:r>
    </w:p>
    <w:p w14:paraId="3D8D3EC6" w14:textId="77777777" w:rsidR="00466531" w:rsidRPr="00466531" w:rsidRDefault="00466531" w:rsidP="00466531">
      <w:r w:rsidRPr="00466531">
        <w:t>（三）围护结构热</w:t>
      </w:r>
      <w:proofErr w:type="gramStart"/>
      <w:r w:rsidRPr="00466531">
        <w:t>工核心</w:t>
      </w:r>
      <w:proofErr w:type="gramEnd"/>
      <w:r w:rsidRPr="00466531">
        <w:t>参数</w:t>
      </w:r>
    </w:p>
    <w:p w14:paraId="6EAE125C" w14:textId="77777777" w:rsidR="00466531" w:rsidRPr="00466531" w:rsidRDefault="00466531" w:rsidP="00466531">
      <w:r w:rsidRPr="00466531">
        <w:t>表格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2134"/>
        <w:gridCol w:w="1845"/>
        <w:gridCol w:w="2889"/>
      </w:tblGrid>
      <w:tr w:rsidR="00466531" w:rsidRPr="00466531" w14:paraId="13C7268F" w14:textId="77777777" w:rsidTr="00466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034ADC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lastRenderedPageBreak/>
              <w:t>围护结构部位</w:t>
            </w:r>
          </w:p>
        </w:tc>
        <w:tc>
          <w:tcPr>
            <w:tcW w:w="0" w:type="auto"/>
            <w:vAlign w:val="center"/>
            <w:hideMark/>
          </w:tcPr>
          <w:p w14:paraId="445BA214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传热系数 K [W/(㎡</w:t>
            </w:r>
            <w:r w:rsidRPr="00466531">
              <w:rPr>
                <w:rFonts w:ascii="微软雅黑" w:eastAsia="微软雅黑" w:hAnsi="微软雅黑" w:cs="微软雅黑" w:hint="eastAsia"/>
                <w:b/>
                <w:bCs/>
              </w:rPr>
              <w:t>・</w:t>
            </w:r>
            <w:r w:rsidRPr="00466531">
              <w:rPr>
                <w:b/>
                <w:bCs/>
              </w:rPr>
              <w:t>K)]</w:t>
            </w:r>
          </w:p>
        </w:tc>
        <w:tc>
          <w:tcPr>
            <w:tcW w:w="0" w:type="auto"/>
            <w:vAlign w:val="center"/>
            <w:hideMark/>
          </w:tcPr>
          <w:p w14:paraId="0A65B009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热阻∑R [(㎡</w:t>
            </w:r>
            <w:r w:rsidRPr="00466531">
              <w:rPr>
                <w:rFonts w:ascii="微软雅黑" w:eastAsia="微软雅黑" w:hAnsi="微软雅黑" w:cs="微软雅黑" w:hint="eastAsia"/>
                <w:b/>
                <w:bCs/>
              </w:rPr>
              <w:t>・</w:t>
            </w:r>
            <w:r w:rsidRPr="00466531">
              <w:rPr>
                <w:b/>
                <w:bCs/>
              </w:rPr>
              <w:t>K)/W]</w:t>
            </w:r>
          </w:p>
        </w:tc>
        <w:tc>
          <w:tcPr>
            <w:tcW w:w="0" w:type="auto"/>
            <w:vAlign w:val="center"/>
            <w:hideMark/>
          </w:tcPr>
          <w:p w14:paraId="7A1F09C8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内表面换热系数 α_n [W/(㎡</w:t>
            </w:r>
            <w:r w:rsidRPr="00466531">
              <w:rPr>
                <w:rFonts w:ascii="微软雅黑" w:eastAsia="微软雅黑" w:hAnsi="微软雅黑" w:cs="微软雅黑" w:hint="eastAsia"/>
                <w:b/>
                <w:bCs/>
              </w:rPr>
              <w:t>・</w:t>
            </w:r>
            <w:r w:rsidRPr="00466531">
              <w:rPr>
                <w:b/>
                <w:bCs/>
              </w:rPr>
              <w:t>K)]</w:t>
            </w:r>
          </w:p>
        </w:tc>
      </w:tr>
      <w:tr w:rsidR="00466531" w:rsidRPr="00466531" w14:paraId="718D61A4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EFAD0" w14:textId="77777777" w:rsidR="00466531" w:rsidRPr="00466531" w:rsidRDefault="00466531" w:rsidP="00466531">
            <w:r w:rsidRPr="00466531">
              <w:t>屋顶</w:t>
            </w:r>
          </w:p>
        </w:tc>
        <w:tc>
          <w:tcPr>
            <w:tcW w:w="0" w:type="auto"/>
            <w:vAlign w:val="center"/>
            <w:hideMark/>
          </w:tcPr>
          <w:p w14:paraId="7188E69C" w14:textId="77777777" w:rsidR="00466531" w:rsidRPr="00466531" w:rsidRDefault="00466531" w:rsidP="00466531">
            <w:r w:rsidRPr="00466531">
              <w:t>0.19</w:t>
            </w:r>
          </w:p>
        </w:tc>
        <w:tc>
          <w:tcPr>
            <w:tcW w:w="0" w:type="auto"/>
            <w:vAlign w:val="center"/>
            <w:hideMark/>
          </w:tcPr>
          <w:p w14:paraId="2C03E1D7" w14:textId="77777777" w:rsidR="00466531" w:rsidRPr="00466531" w:rsidRDefault="00466531" w:rsidP="00466531">
            <w:r w:rsidRPr="00466531">
              <w:t>5.079</w:t>
            </w:r>
          </w:p>
        </w:tc>
        <w:tc>
          <w:tcPr>
            <w:tcW w:w="0" w:type="auto"/>
            <w:vAlign w:val="center"/>
            <w:hideMark/>
          </w:tcPr>
          <w:p w14:paraId="2BFBAFA0" w14:textId="77777777" w:rsidR="00466531" w:rsidRPr="00466531" w:rsidRDefault="00466531" w:rsidP="00466531">
            <w:r w:rsidRPr="00466531">
              <w:t>8.7</w:t>
            </w:r>
          </w:p>
        </w:tc>
      </w:tr>
      <w:tr w:rsidR="00466531" w:rsidRPr="00466531" w14:paraId="76B92D42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7CC95" w14:textId="77777777" w:rsidR="00466531" w:rsidRPr="00466531" w:rsidRDefault="00466531" w:rsidP="00466531">
            <w:r w:rsidRPr="00466531">
              <w:t>外墙（填充墙）</w:t>
            </w:r>
          </w:p>
        </w:tc>
        <w:tc>
          <w:tcPr>
            <w:tcW w:w="0" w:type="auto"/>
            <w:vAlign w:val="center"/>
            <w:hideMark/>
          </w:tcPr>
          <w:p w14:paraId="72A061A4" w14:textId="77777777" w:rsidR="00466531" w:rsidRPr="00466531" w:rsidRDefault="00466531" w:rsidP="00466531">
            <w:r w:rsidRPr="00466531">
              <w:t>0.33</w:t>
            </w:r>
          </w:p>
        </w:tc>
        <w:tc>
          <w:tcPr>
            <w:tcW w:w="0" w:type="auto"/>
            <w:vAlign w:val="center"/>
            <w:hideMark/>
          </w:tcPr>
          <w:p w14:paraId="0DCED7E7" w14:textId="77777777" w:rsidR="00466531" w:rsidRPr="00466531" w:rsidRDefault="00466531" w:rsidP="00466531">
            <w:r w:rsidRPr="00466531">
              <w:t>2.871</w:t>
            </w:r>
          </w:p>
        </w:tc>
        <w:tc>
          <w:tcPr>
            <w:tcW w:w="0" w:type="auto"/>
            <w:vAlign w:val="center"/>
            <w:hideMark/>
          </w:tcPr>
          <w:p w14:paraId="533D6E31" w14:textId="77777777" w:rsidR="00466531" w:rsidRPr="00466531" w:rsidRDefault="00466531" w:rsidP="00466531">
            <w:r w:rsidRPr="00466531">
              <w:t>8.7</w:t>
            </w:r>
          </w:p>
        </w:tc>
      </w:tr>
      <w:tr w:rsidR="00466531" w:rsidRPr="00466531" w14:paraId="0E9C0206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A268D" w14:textId="77777777" w:rsidR="00466531" w:rsidRPr="00466531" w:rsidRDefault="00466531" w:rsidP="00466531">
            <w:r w:rsidRPr="00466531">
              <w:t>外窗 / 幕墙</w:t>
            </w:r>
          </w:p>
        </w:tc>
        <w:tc>
          <w:tcPr>
            <w:tcW w:w="0" w:type="auto"/>
            <w:vAlign w:val="center"/>
            <w:hideMark/>
          </w:tcPr>
          <w:p w14:paraId="5575C683" w14:textId="77777777" w:rsidR="00466531" w:rsidRPr="00466531" w:rsidRDefault="00466531" w:rsidP="00466531">
            <w:r w:rsidRPr="00466531">
              <w:t>1.00</w:t>
            </w:r>
          </w:p>
        </w:tc>
        <w:tc>
          <w:tcPr>
            <w:tcW w:w="0" w:type="auto"/>
            <w:vAlign w:val="center"/>
            <w:hideMark/>
          </w:tcPr>
          <w:p w14:paraId="224D80E2" w14:textId="77777777" w:rsidR="00466531" w:rsidRPr="00466531" w:rsidRDefault="00466531" w:rsidP="00466531">
            <w:r w:rsidRPr="00466531">
              <w:t>0.850</w:t>
            </w:r>
          </w:p>
        </w:tc>
        <w:tc>
          <w:tcPr>
            <w:tcW w:w="0" w:type="auto"/>
            <w:vAlign w:val="center"/>
            <w:hideMark/>
          </w:tcPr>
          <w:p w14:paraId="12562A28" w14:textId="77777777" w:rsidR="00466531" w:rsidRPr="00466531" w:rsidRDefault="00466531" w:rsidP="00466531">
            <w:r w:rsidRPr="00466531">
              <w:t>8.7</w:t>
            </w:r>
          </w:p>
        </w:tc>
      </w:tr>
      <w:tr w:rsidR="00466531" w:rsidRPr="00466531" w14:paraId="28FD325D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64A38" w14:textId="77777777" w:rsidR="00466531" w:rsidRPr="00466531" w:rsidRDefault="00466531" w:rsidP="00466531">
            <w:r w:rsidRPr="00466531">
              <w:t>首层周边地面</w:t>
            </w:r>
          </w:p>
        </w:tc>
        <w:tc>
          <w:tcPr>
            <w:tcW w:w="0" w:type="auto"/>
            <w:vAlign w:val="center"/>
            <w:hideMark/>
          </w:tcPr>
          <w:p w14:paraId="1659F600" w14:textId="77777777" w:rsidR="00466531" w:rsidRPr="00466531" w:rsidRDefault="00466531" w:rsidP="00466531">
            <w:r w:rsidRPr="00466531">
              <w:t>0.52</w:t>
            </w:r>
          </w:p>
        </w:tc>
        <w:tc>
          <w:tcPr>
            <w:tcW w:w="0" w:type="auto"/>
            <w:vAlign w:val="center"/>
            <w:hideMark/>
          </w:tcPr>
          <w:p w14:paraId="143F258F" w14:textId="77777777" w:rsidR="00466531" w:rsidRPr="00466531" w:rsidRDefault="00466531" w:rsidP="00466531">
            <w:r w:rsidRPr="00466531">
              <w:t>0.090</w:t>
            </w:r>
          </w:p>
        </w:tc>
        <w:tc>
          <w:tcPr>
            <w:tcW w:w="0" w:type="auto"/>
            <w:vAlign w:val="center"/>
            <w:hideMark/>
          </w:tcPr>
          <w:p w14:paraId="5590A455" w14:textId="77777777" w:rsidR="00466531" w:rsidRPr="00466531" w:rsidRDefault="00466531" w:rsidP="00466531">
            <w:r w:rsidRPr="00466531">
              <w:t>8.7</w:t>
            </w:r>
          </w:p>
        </w:tc>
      </w:tr>
      <w:tr w:rsidR="00466531" w:rsidRPr="00466531" w14:paraId="54EA49CE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1D954" w14:textId="77777777" w:rsidR="00466531" w:rsidRPr="00466531" w:rsidRDefault="00466531" w:rsidP="00466531">
            <w:r w:rsidRPr="00466531">
              <w:t>楼层楼板</w:t>
            </w:r>
          </w:p>
        </w:tc>
        <w:tc>
          <w:tcPr>
            <w:tcW w:w="0" w:type="auto"/>
            <w:vAlign w:val="center"/>
            <w:hideMark/>
          </w:tcPr>
          <w:p w14:paraId="547B2030" w14:textId="77777777" w:rsidR="00466531" w:rsidRPr="00466531" w:rsidRDefault="00466531" w:rsidP="00466531">
            <w:r w:rsidRPr="00466531">
              <w:t>1.45</w:t>
            </w:r>
          </w:p>
        </w:tc>
        <w:tc>
          <w:tcPr>
            <w:tcW w:w="0" w:type="auto"/>
            <w:vAlign w:val="center"/>
            <w:hideMark/>
          </w:tcPr>
          <w:p w14:paraId="128EC5E1" w14:textId="77777777" w:rsidR="00466531" w:rsidRPr="00466531" w:rsidRDefault="00466531" w:rsidP="00466531">
            <w:r w:rsidRPr="00466531">
              <w:t>0.471</w:t>
            </w:r>
          </w:p>
        </w:tc>
        <w:tc>
          <w:tcPr>
            <w:tcW w:w="0" w:type="auto"/>
            <w:vAlign w:val="center"/>
            <w:hideMark/>
          </w:tcPr>
          <w:p w14:paraId="0A4A068F" w14:textId="77777777" w:rsidR="00466531" w:rsidRPr="00466531" w:rsidRDefault="00466531" w:rsidP="00466531">
            <w:r w:rsidRPr="00466531">
              <w:t>8.7</w:t>
            </w:r>
          </w:p>
        </w:tc>
      </w:tr>
      <w:tr w:rsidR="00466531" w:rsidRPr="00466531" w14:paraId="7FBBEEEE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E43F8" w14:textId="77777777" w:rsidR="00466531" w:rsidRPr="00466531" w:rsidRDefault="00466531" w:rsidP="00466531">
            <w:r w:rsidRPr="00466531">
              <w:t>外门</w:t>
            </w:r>
          </w:p>
        </w:tc>
        <w:tc>
          <w:tcPr>
            <w:tcW w:w="0" w:type="auto"/>
            <w:vAlign w:val="center"/>
            <w:hideMark/>
          </w:tcPr>
          <w:p w14:paraId="13225CA9" w14:textId="77777777" w:rsidR="00466531" w:rsidRPr="00466531" w:rsidRDefault="00466531" w:rsidP="00466531">
            <w:r w:rsidRPr="00466531">
              <w:t>1.10</w:t>
            </w:r>
          </w:p>
        </w:tc>
        <w:tc>
          <w:tcPr>
            <w:tcW w:w="0" w:type="auto"/>
            <w:vAlign w:val="center"/>
            <w:hideMark/>
          </w:tcPr>
          <w:p w14:paraId="28497186" w14:textId="77777777" w:rsidR="00466531" w:rsidRPr="00466531" w:rsidRDefault="00466531" w:rsidP="00466531">
            <w:r w:rsidRPr="00466531">
              <w:t>0.770</w:t>
            </w:r>
          </w:p>
        </w:tc>
        <w:tc>
          <w:tcPr>
            <w:tcW w:w="0" w:type="auto"/>
            <w:vAlign w:val="center"/>
            <w:hideMark/>
          </w:tcPr>
          <w:p w14:paraId="2494E903" w14:textId="77777777" w:rsidR="00466531" w:rsidRPr="00466531" w:rsidRDefault="00466531" w:rsidP="00466531">
            <w:r w:rsidRPr="00466531">
              <w:t>8.7</w:t>
            </w:r>
          </w:p>
        </w:tc>
      </w:tr>
    </w:tbl>
    <w:p w14:paraId="67CA0E4E" w14:textId="77777777" w:rsidR="00466531" w:rsidRPr="00466531" w:rsidRDefault="00466531" w:rsidP="00466531">
      <w:r w:rsidRPr="00466531">
        <w:t>三、围护结构内表面温度计算</w:t>
      </w:r>
    </w:p>
    <w:p w14:paraId="4D93AB44" w14:textId="77777777" w:rsidR="00466531" w:rsidRPr="00466531" w:rsidRDefault="00466531" w:rsidP="00466531">
      <w:r w:rsidRPr="00466531">
        <w:t>采用《民用建筑热工设计规范》中围护结构内表面温度计算公式：</w:t>
      </w:r>
    </w:p>
    <w:p w14:paraId="351E1CE1" w14:textId="77777777" w:rsidR="00466531" w:rsidRPr="00466531" w:rsidRDefault="00466531" w:rsidP="00466531">
      <w:proofErr w:type="spellStart"/>
      <w:r w:rsidRPr="00466531">
        <w:t>tni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=</w:t>
      </w:r>
      <w:proofErr w:type="spellStart"/>
      <w:r w:rsidRPr="00466531">
        <w:t>tn</w:t>
      </w:r>
      <w:proofErr w:type="spellEnd"/>
      <w:r w:rsidRPr="00466531">
        <w:rPr>
          <w:rFonts w:ascii="Times New Roman" w:hAnsi="Times New Roman" w:cs="Times New Roman"/>
        </w:rPr>
        <w:t>​−</w:t>
      </w:r>
      <w:r w:rsidRPr="00466531">
        <w:rPr>
          <w:rFonts w:ascii="等线" w:eastAsia="等线" w:hAnsi="等线" w:cs="等线" w:hint="eastAsia"/>
        </w:rPr>
        <w:t>α</w:t>
      </w:r>
      <w:r w:rsidRPr="00466531">
        <w:t>n</w:t>
      </w:r>
      <w:r w:rsidRPr="00466531">
        <w:rPr>
          <w:rFonts w:ascii="Times New Roman" w:hAnsi="Times New Roman" w:cs="Times New Roman"/>
        </w:rPr>
        <w:t>​</w:t>
      </w:r>
      <w:r w:rsidRPr="00466531">
        <w:t>K(</w:t>
      </w:r>
      <w:proofErr w:type="spellStart"/>
      <w:r w:rsidRPr="00466531">
        <w:t>tn</w:t>
      </w:r>
      <w:proofErr w:type="spellEnd"/>
      <w:r w:rsidRPr="00466531">
        <w:rPr>
          <w:rFonts w:ascii="Times New Roman" w:hAnsi="Times New Roman" w:cs="Times New Roman"/>
        </w:rPr>
        <w:t>​−</w:t>
      </w:r>
      <w:proofErr w:type="spellStart"/>
      <w:r w:rsidRPr="00466531">
        <w:t>te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)</w:t>
      </w:r>
      <w:r w:rsidRPr="00466531">
        <w:rPr>
          <w:rFonts w:ascii="Times New Roman" w:hAnsi="Times New Roman" w:cs="Times New Roman"/>
        </w:rPr>
        <w:t>​</w:t>
      </w:r>
    </w:p>
    <w:p w14:paraId="5F46C106" w14:textId="77777777" w:rsidR="00466531" w:rsidRPr="00466531" w:rsidRDefault="00466531" w:rsidP="00466531">
      <w:r w:rsidRPr="00466531">
        <w:t>式中：</w:t>
      </w:r>
      <w:proofErr w:type="spellStart"/>
      <w:r w:rsidRPr="00466531">
        <w:t>tn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为室内计算温度，K为围护结构传热系数，</w:t>
      </w:r>
      <w:proofErr w:type="spellStart"/>
      <w:r w:rsidRPr="00466531">
        <w:t>te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为室外计算温度，αn</w:t>
      </w:r>
      <w:r w:rsidRPr="00466531">
        <w:rPr>
          <w:rFonts w:ascii="Times New Roman" w:hAnsi="Times New Roman" w:cs="Times New Roman"/>
        </w:rPr>
        <w:t>​</w:t>
      </w:r>
      <w:r w:rsidRPr="00466531">
        <w:t>为内表面换热系数。</w:t>
      </w:r>
    </w:p>
    <w:p w14:paraId="3867E27D" w14:textId="77777777" w:rsidR="00466531" w:rsidRPr="00466531" w:rsidRDefault="00466531" w:rsidP="00466531">
      <w:r w:rsidRPr="00466531">
        <w:t>（一）各部位内表面温度计算结果</w:t>
      </w:r>
    </w:p>
    <w:p w14:paraId="0468B10D" w14:textId="77777777" w:rsidR="00466531" w:rsidRPr="00466531" w:rsidRDefault="00466531" w:rsidP="00466531">
      <w:r w:rsidRPr="00466531">
        <w:t>表格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821"/>
        <w:gridCol w:w="1712"/>
        <w:gridCol w:w="1873"/>
        <w:gridCol w:w="1596"/>
      </w:tblGrid>
      <w:tr w:rsidR="00466531" w:rsidRPr="00466531" w14:paraId="3EA50926" w14:textId="77777777" w:rsidTr="00466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5CF8D2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围护结构部位</w:t>
            </w:r>
          </w:p>
        </w:tc>
        <w:tc>
          <w:tcPr>
            <w:tcW w:w="0" w:type="auto"/>
            <w:vAlign w:val="center"/>
            <w:hideMark/>
          </w:tcPr>
          <w:p w14:paraId="6CC2537F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计算过程</w:t>
            </w:r>
          </w:p>
        </w:tc>
        <w:tc>
          <w:tcPr>
            <w:tcW w:w="0" w:type="auto"/>
            <w:vAlign w:val="center"/>
            <w:hideMark/>
          </w:tcPr>
          <w:p w14:paraId="760A2CB7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内表面温度</w:t>
            </w:r>
            <w:proofErr w:type="spellStart"/>
            <w:r w:rsidRPr="00466531">
              <w:t>tni</w:t>
            </w:r>
            <w:proofErr w:type="spellEnd"/>
            <w:r w:rsidRPr="00466531">
              <w:rPr>
                <w:rFonts w:ascii="Times New Roman" w:hAnsi="Times New Roman" w:cs="Times New Roman"/>
              </w:rPr>
              <w:t>​</w:t>
            </w:r>
            <w:r w:rsidRPr="00466531">
              <w:rPr>
                <w:b/>
                <w:bCs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7F6252CD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室内露点温度</w:t>
            </w:r>
            <w:proofErr w:type="spellStart"/>
            <w:r w:rsidRPr="00466531">
              <w:t>tld</w:t>
            </w:r>
            <w:proofErr w:type="spellEnd"/>
            <w:r w:rsidRPr="00466531">
              <w:rPr>
                <w:rFonts w:ascii="Times New Roman" w:hAnsi="Times New Roman" w:cs="Times New Roman"/>
              </w:rPr>
              <w:t>​</w:t>
            </w:r>
            <w:r w:rsidRPr="00466531">
              <w:rPr>
                <w:b/>
                <w:bCs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7A0F7915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结露判定（</w:t>
            </w:r>
            <w:proofErr w:type="spellStart"/>
            <w:r w:rsidRPr="00466531">
              <w:t>tni</w:t>
            </w:r>
            <w:proofErr w:type="spellEnd"/>
            <w:r w:rsidRPr="00466531">
              <w:rPr>
                <w:rFonts w:ascii="Times New Roman" w:hAnsi="Times New Roman" w:cs="Times New Roman"/>
              </w:rPr>
              <w:t>​</w:t>
            </w:r>
            <w:r w:rsidRPr="00466531">
              <w:t>&gt;</w:t>
            </w:r>
            <w:proofErr w:type="spellStart"/>
            <w:r w:rsidRPr="00466531">
              <w:t>tld</w:t>
            </w:r>
            <w:proofErr w:type="spellEnd"/>
            <w:r w:rsidRPr="00466531">
              <w:rPr>
                <w:rFonts w:ascii="Times New Roman" w:hAnsi="Times New Roman" w:cs="Times New Roman"/>
              </w:rPr>
              <w:t>​</w:t>
            </w:r>
            <w:r w:rsidRPr="00466531">
              <w:rPr>
                <w:b/>
                <w:bCs/>
              </w:rPr>
              <w:t>）</w:t>
            </w:r>
          </w:p>
        </w:tc>
      </w:tr>
      <w:tr w:rsidR="00466531" w:rsidRPr="00466531" w14:paraId="5BF43F64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CCDA5" w14:textId="77777777" w:rsidR="00466531" w:rsidRPr="00466531" w:rsidRDefault="00466531" w:rsidP="00466531">
            <w:r w:rsidRPr="00466531">
              <w:t>屋顶</w:t>
            </w:r>
          </w:p>
        </w:tc>
        <w:tc>
          <w:tcPr>
            <w:tcW w:w="0" w:type="auto"/>
            <w:vAlign w:val="center"/>
            <w:hideMark/>
          </w:tcPr>
          <w:p w14:paraId="6F4A20C9" w14:textId="77777777" w:rsidR="00466531" w:rsidRPr="00466531" w:rsidRDefault="00466531" w:rsidP="00466531">
            <w:r w:rsidRPr="00466531">
              <w:t>20</w:t>
            </w:r>
            <w:r w:rsidRPr="00466531">
              <w:rPr>
                <w:rFonts w:ascii="Cambria Math" w:hAnsi="Cambria Math" w:cs="Cambria Math"/>
              </w:rPr>
              <w:t>−</w:t>
            </w:r>
            <w:r w:rsidRPr="00466531">
              <w:t>[0.19</w:t>
            </w:r>
            <w:r w:rsidRPr="00466531">
              <w:rPr>
                <w:rFonts w:ascii="等线" w:eastAsia="等线" w:hAnsi="等线" w:cs="等线" w:hint="eastAsia"/>
              </w:rPr>
              <w:t>×</w:t>
            </w:r>
            <w:r w:rsidRPr="00466531">
              <w:t>(20+3)]/8.7</w:t>
            </w:r>
          </w:p>
        </w:tc>
        <w:tc>
          <w:tcPr>
            <w:tcW w:w="0" w:type="auto"/>
            <w:vAlign w:val="center"/>
            <w:hideMark/>
          </w:tcPr>
          <w:p w14:paraId="09D8A3CD" w14:textId="77777777" w:rsidR="00466531" w:rsidRPr="00466531" w:rsidRDefault="00466531" w:rsidP="00466531">
            <w:r w:rsidRPr="00466531">
              <w:t>19.50</w:t>
            </w:r>
          </w:p>
        </w:tc>
        <w:tc>
          <w:tcPr>
            <w:tcW w:w="0" w:type="auto"/>
            <w:vAlign w:val="center"/>
            <w:hideMark/>
          </w:tcPr>
          <w:p w14:paraId="5710AEC9" w14:textId="77777777" w:rsidR="00466531" w:rsidRPr="00466531" w:rsidRDefault="00466531" w:rsidP="00466531">
            <w:r w:rsidRPr="00466531">
              <w:t>5.3</w:t>
            </w:r>
          </w:p>
        </w:tc>
        <w:tc>
          <w:tcPr>
            <w:tcW w:w="0" w:type="auto"/>
            <w:vAlign w:val="center"/>
            <w:hideMark/>
          </w:tcPr>
          <w:p w14:paraId="360E4184" w14:textId="77777777" w:rsidR="00466531" w:rsidRPr="00466531" w:rsidRDefault="00466531" w:rsidP="00466531">
            <w:r w:rsidRPr="00466531">
              <w:t>不结露</w:t>
            </w:r>
          </w:p>
        </w:tc>
      </w:tr>
      <w:tr w:rsidR="00466531" w:rsidRPr="00466531" w14:paraId="55CF1B74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0C262" w14:textId="77777777" w:rsidR="00466531" w:rsidRPr="00466531" w:rsidRDefault="00466531" w:rsidP="00466531">
            <w:r w:rsidRPr="00466531">
              <w:t>外墙（填充墙）</w:t>
            </w:r>
          </w:p>
        </w:tc>
        <w:tc>
          <w:tcPr>
            <w:tcW w:w="0" w:type="auto"/>
            <w:vAlign w:val="center"/>
            <w:hideMark/>
          </w:tcPr>
          <w:p w14:paraId="1D9E0863" w14:textId="77777777" w:rsidR="00466531" w:rsidRPr="00466531" w:rsidRDefault="00466531" w:rsidP="00466531">
            <w:r w:rsidRPr="00466531">
              <w:t>20</w:t>
            </w:r>
            <w:r w:rsidRPr="00466531">
              <w:rPr>
                <w:rFonts w:ascii="Cambria Math" w:hAnsi="Cambria Math" w:cs="Cambria Math"/>
              </w:rPr>
              <w:t>−</w:t>
            </w:r>
            <w:r w:rsidRPr="00466531">
              <w:t>[0.33</w:t>
            </w:r>
            <w:r w:rsidRPr="00466531">
              <w:rPr>
                <w:rFonts w:ascii="等线" w:eastAsia="等线" w:hAnsi="等线" w:cs="等线" w:hint="eastAsia"/>
              </w:rPr>
              <w:t>×</w:t>
            </w:r>
            <w:r w:rsidRPr="00466531">
              <w:t>(20+3)]/8.7</w:t>
            </w:r>
          </w:p>
        </w:tc>
        <w:tc>
          <w:tcPr>
            <w:tcW w:w="0" w:type="auto"/>
            <w:vAlign w:val="center"/>
            <w:hideMark/>
          </w:tcPr>
          <w:p w14:paraId="52B48F30" w14:textId="77777777" w:rsidR="00466531" w:rsidRPr="00466531" w:rsidRDefault="00466531" w:rsidP="00466531">
            <w:r w:rsidRPr="00466531">
              <w:t>19.10</w:t>
            </w:r>
          </w:p>
        </w:tc>
        <w:tc>
          <w:tcPr>
            <w:tcW w:w="0" w:type="auto"/>
            <w:vAlign w:val="center"/>
            <w:hideMark/>
          </w:tcPr>
          <w:p w14:paraId="73E5FA61" w14:textId="77777777" w:rsidR="00466531" w:rsidRPr="00466531" w:rsidRDefault="00466531" w:rsidP="00466531">
            <w:r w:rsidRPr="00466531">
              <w:t>5.3</w:t>
            </w:r>
          </w:p>
        </w:tc>
        <w:tc>
          <w:tcPr>
            <w:tcW w:w="0" w:type="auto"/>
            <w:vAlign w:val="center"/>
            <w:hideMark/>
          </w:tcPr>
          <w:p w14:paraId="58C34230" w14:textId="77777777" w:rsidR="00466531" w:rsidRPr="00466531" w:rsidRDefault="00466531" w:rsidP="00466531">
            <w:r w:rsidRPr="00466531">
              <w:t>不结露</w:t>
            </w:r>
          </w:p>
        </w:tc>
      </w:tr>
      <w:tr w:rsidR="00466531" w:rsidRPr="00466531" w14:paraId="633569E6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D2030" w14:textId="77777777" w:rsidR="00466531" w:rsidRPr="00466531" w:rsidRDefault="00466531" w:rsidP="00466531">
            <w:r w:rsidRPr="00466531">
              <w:t>外窗 / 幕墙</w:t>
            </w:r>
          </w:p>
        </w:tc>
        <w:tc>
          <w:tcPr>
            <w:tcW w:w="0" w:type="auto"/>
            <w:vAlign w:val="center"/>
            <w:hideMark/>
          </w:tcPr>
          <w:p w14:paraId="60A88C41" w14:textId="77777777" w:rsidR="00466531" w:rsidRPr="00466531" w:rsidRDefault="00466531" w:rsidP="00466531">
            <w:r w:rsidRPr="00466531">
              <w:t>20</w:t>
            </w:r>
            <w:r w:rsidRPr="00466531">
              <w:rPr>
                <w:rFonts w:ascii="Cambria Math" w:hAnsi="Cambria Math" w:cs="Cambria Math"/>
              </w:rPr>
              <w:t>−</w:t>
            </w:r>
            <w:r w:rsidRPr="00466531">
              <w:t>[1.00</w:t>
            </w:r>
            <w:r w:rsidRPr="00466531">
              <w:rPr>
                <w:rFonts w:ascii="等线" w:eastAsia="等线" w:hAnsi="等线" w:cs="等线" w:hint="eastAsia"/>
              </w:rPr>
              <w:t>×</w:t>
            </w:r>
            <w:r w:rsidRPr="00466531">
              <w:t>(20+3)]/8.7</w:t>
            </w:r>
          </w:p>
        </w:tc>
        <w:tc>
          <w:tcPr>
            <w:tcW w:w="0" w:type="auto"/>
            <w:vAlign w:val="center"/>
            <w:hideMark/>
          </w:tcPr>
          <w:p w14:paraId="3D198A02" w14:textId="77777777" w:rsidR="00466531" w:rsidRPr="00466531" w:rsidRDefault="00466531" w:rsidP="00466531">
            <w:r w:rsidRPr="00466531">
              <w:t>17.13</w:t>
            </w:r>
          </w:p>
        </w:tc>
        <w:tc>
          <w:tcPr>
            <w:tcW w:w="0" w:type="auto"/>
            <w:vAlign w:val="center"/>
            <w:hideMark/>
          </w:tcPr>
          <w:p w14:paraId="17D033E3" w14:textId="77777777" w:rsidR="00466531" w:rsidRPr="00466531" w:rsidRDefault="00466531" w:rsidP="00466531">
            <w:r w:rsidRPr="00466531">
              <w:t>5.3</w:t>
            </w:r>
          </w:p>
        </w:tc>
        <w:tc>
          <w:tcPr>
            <w:tcW w:w="0" w:type="auto"/>
            <w:vAlign w:val="center"/>
            <w:hideMark/>
          </w:tcPr>
          <w:p w14:paraId="2963580B" w14:textId="77777777" w:rsidR="00466531" w:rsidRPr="00466531" w:rsidRDefault="00466531" w:rsidP="00466531">
            <w:r w:rsidRPr="00466531">
              <w:t>不结露</w:t>
            </w:r>
          </w:p>
        </w:tc>
      </w:tr>
      <w:tr w:rsidR="00466531" w:rsidRPr="00466531" w14:paraId="2A86DF4A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C7679" w14:textId="77777777" w:rsidR="00466531" w:rsidRPr="00466531" w:rsidRDefault="00466531" w:rsidP="00466531">
            <w:r w:rsidRPr="00466531">
              <w:t>首层周边地面</w:t>
            </w:r>
          </w:p>
        </w:tc>
        <w:tc>
          <w:tcPr>
            <w:tcW w:w="0" w:type="auto"/>
            <w:vAlign w:val="center"/>
            <w:hideMark/>
          </w:tcPr>
          <w:p w14:paraId="2BC9B23C" w14:textId="77777777" w:rsidR="00466531" w:rsidRPr="00466531" w:rsidRDefault="00466531" w:rsidP="00466531">
            <w:r w:rsidRPr="00466531">
              <w:t>20</w:t>
            </w:r>
            <w:r w:rsidRPr="00466531">
              <w:rPr>
                <w:rFonts w:ascii="Cambria Math" w:hAnsi="Cambria Math" w:cs="Cambria Math"/>
              </w:rPr>
              <w:t>−</w:t>
            </w:r>
            <w:r w:rsidRPr="00466531">
              <w:t>[0.52</w:t>
            </w:r>
            <w:r w:rsidRPr="00466531">
              <w:rPr>
                <w:rFonts w:ascii="等线" w:eastAsia="等线" w:hAnsi="等线" w:cs="等线" w:hint="eastAsia"/>
              </w:rPr>
              <w:t>×</w:t>
            </w:r>
            <w:r w:rsidRPr="00466531">
              <w:t>(20+3)]/8.7</w:t>
            </w:r>
          </w:p>
        </w:tc>
        <w:tc>
          <w:tcPr>
            <w:tcW w:w="0" w:type="auto"/>
            <w:vAlign w:val="center"/>
            <w:hideMark/>
          </w:tcPr>
          <w:p w14:paraId="73C77D10" w14:textId="77777777" w:rsidR="00466531" w:rsidRPr="00466531" w:rsidRDefault="00466531" w:rsidP="00466531">
            <w:r w:rsidRPr="00466531">
              <w:t>18.60</w:t>
            </w:r>
          </w:p>
        </w:tc>
        <w:tc>
          <w:tcPr>
            <w:tcW w:w="0" w:type="auto"/>
            <w:vAlign w:val="center"/>
            <w:hideMark/>
          </w:tcPr>
          <w:p w14:paraId="4715C3C7" w14:textId="77777777" w:rsidR="00466531" w:rsidRPr="00466531" w:rsidRDefault="00466531" w:rsidP="00466531">
            <w:r w:rsidRPr="00466531">
              <w:t>5.3</w:t>
            </w:r>
          </w:p>
        </w:tc>
        <w:tc>
          <w:tcPr>
            <w:tcW w:w="0" w:type="auto"/>
            <w:vAlign w:val="center"/>
            <w:hideMark/>
          </w:tcPr>
          <w:p w14:paraId="2904719A" w14:textId="77777777" w:rsidR="00466531" w:rsidRPr="00466531" w:rsidRDefault="00466531" w:rsidP="00466531">
            <w:r w:rsidRPr="00466531">
              <w:t>不结露</w:t>
            </w:r>
          </w:p>
        </w:tc>
      </w:tr>
      <w:tr w:rsidR="00466531" w:rsidRPr="00466531" w14:paraId="02725D31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0D228" w14:textId="77777777" w:rsidR="00466531" w:rsidRPr="00466531" w:rsidRDefault="00466531" w:rsidP="00466531">
            <w:r w:rsidRPr="00466531">
              <w:t>楼层楼板</w:t>
            </w:r>
          </w:p>
        </w:tc>
        <w:tc>
          <w:tcPr>
            <w:tcW w:w="0" w:type="auto"/>
            <w:vAlign w:val="center"/>
            <w:hideMark/>
          </w:tcPr>
          <w:p w14:paraId="52FB0BD1" w14:textId="77777777" w:rsidR="00466531" w:rsidRPr="00466531" w:rsidRDefault="00466531" w:rsidP="00466531">
            <w:r w:rsidRPr="00466531">
              <w:t>20</w:t>
            </w:r>
            <w:r w:rsidRPr="00466531">
              <w:rPr>
                <w:rFonts w:ascii="Cambria Math" w:hAnsi="Cambria Math" w:cs="Cambria Math"/>
              </w:rPr>
              <w:t>−</w:t>
            </w:r>
            <w:r w:rsidRPr="00466531">
              <w:t>[1.45</w:t>
            </w:r>
            <w:r w:rsidRPr="00466531">
              <w:rPr>
                <w:rFonts w:ascii="等线" w:eastAsia="等线" w:hAnsi="等线" w:cs="等线" w:hint="eastAsia"/>
              </w:rPr>
              <w:t>×</w:t>
            </w:r>
            <w:r w:rsidRPr="00466531">
              <w:lastRenderedPageBreak/>
              <w:t>(20+3)]/8.7</w:t>
            </w:r>
          </w:p>
        </w:tc>
        <w:tc>
          <w:tcPr>
            <w:tcW w:w="0" w:type="auto"/>
            <w:vAlign w:val="center"/>
            <w:hideMark/>
          </w:tcPr>
          <w:p w14:paraId="04012F1D" w14:textId="77777777" w:rsidR="00466531" w:rsidRPr="00466531" w:rsidRDefault="00466531" w:rsidP="00466531">
            <w:r w:rsidRPr="00466531">
              <w:lastRenderedPageBreak/>
              <w:t>16.02</w:t>
            </w:r>
          </w:p>
        </w:tc>
        <w:tc>
          <w:tcPr>
            <w:tcW w:w="0" w:type="auto"/>
            <w:vAlign w:val="center"/>
            <w:hideMark/>
          </w:tcPr>
          <w:p w14:paraId="3C792B60" w14:textId="77777777" w:rsidR="00466531" w:rsidRPr="00466531" w:rsidRDefault="00466531" w:rsidP="00466531">
            <w:r w:rsidRPr="00466531">
              <w:t>5.3</w:t>
            </w:r>
          </w:p>
        </w:tc>
        <w:tc>
          <w:tcPr>
            <w:tcW w:w="0" w:type="auto"/>
            <w:vAlign w:val="center"/>
            <w:hideMark/>
          </w:tcPr>
          <w:p w14:paraId="0F81D26D" w14:textId="77777777" w:rsidR="00466531" w:rsidRPr="00466531" w:rsidRDefault="00466531" w:rsidP="00466531">
            <w:r w:rsidRPr="00466531">
              <w:t>不结露</w:t>
            </w:r>
          </w:p>
        </w:tc>
      </w:tr>
      <w:tr w:rsidR="00466531" w:rsidRPr="00466531" w14:paraId="791D6867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DE01D" w14:textId="77777777" w:rsidR="00466531" w:rsidRPr="00466531" w:rsidRDefault="00466531" w:rsidP="00466531">
            <w:r w:rsidRPr="00466531">
              <w:t>外门</w:t>
            </w:r>
          </w:p>
        </w:tc>
        <w:tc>
          <w:tcPr>
            <w:tcW w:w="0" w:type="auto"/>
            <w:vAlign w:val="center"/>
            <w:hideMark/>
          </w:tcPr>
          <w:p w14:paraId="2A3BA509" w14:textId="77777777" w:rsidR="00466531" w:rsidRPr="00466531" w:rsidRDefault="00466531" w:rsidP="00466531">
            <w:r w:rsidRPr="00466531">
              <w:t>20</w:t>
            </w:r>
            <w:r w:rsidRPr="00466531">
              <w:rPr>
                <w:rFonts w:ascii="Cambria Math" w:hAnsi="Cambria Math" w:cs="Cambria Math"/>
              </w:rPr>
              <w:t>−</w:t>
            </w:r>
            <w:r w:rsidRPr="00466531">
              <w:t>[1.10</w:t>
            </w:r>
            <w:r w:rsidRPr="00466531">
              <w:rPr>
                <w:rFonts w:ascii="等线" w:eastAsia="等线" w:hAnsi="等线" w:cs="等线" w:hint="eastAsia"/>
              </w:rPr>
              <w:t>×</w:t>
            </w:r>
            <w:r w:rsidRPr="00466531">
              <w:t>(20+3)]/8.7</w:t>
            </w:r>
          </w:p>
        </w:tc>
        <w:tc>
          <w:tcPr>
            <w:tcW w:w="0" w:type="auto"/>
            <w:vAlign w:val="center"/>
            <w:hideMark/>
          </w:tcPr>
          <w:p w14:paraId="4D37156C" w14:textId="77777777" w:rsidR="00466531" w:rsidRPr="00466531" w:rsidRDefault="00466531" w:rsidP="00466531">
            <w:r w:rsidRPr="00466531">
              <w:t>16.91</w:t>
            </w:r>
          </w:p>
        </w:tc>
        <w:tc>
          <w:tcPr>
            <w:tcW w:w="0" w:type="auto"/>
            <w:vAlign w:val="center"/>
            <w:hideMark/>
          </w:tcPr>
          <w:p w14:paraId="553DB131" w14:textId="77777777" w:rsidR="00466531" w:rsidRPr="00466531" w:rsidRDefault="00466531" w:rsidP="00466531">
            <w:r w:rsidRPr="00466531">
              <w:t>5.3</w:t>
            </w:r>
          </w:p>
        </w:tc>
        <w:tc>
          <w:tcPr>
            <w:tcW w:w="0" w:type="auto"/>
            <w:vAlign w:val="center"/>
            <w:hideMark/>
          </w:tcPr>
          <w:p w14:paraId="3AC3804A" w14:textId="77777777" w:rsidR="00466531" w:rsidRPr="00466531" w:rsidRDefault="00466531" w:rsidP="00466531">
            <w:r w:rsidRPr="00466531">
              <w:t>不结露</w:t>
            </w:r>
          </w:p>
        </w:tc>
      </w:tr>
    </w:tbl>
    <w:p w14:paraId="783B293B" w14:textId="77777777" w:rsidR="00466531" w:rsidRPr="00466531" w:rsidRDefault="00466531" w:rsidP="00466531">
      <w:r w:rsidRPr="00466531">
        <w:t>（二）特殊区域验算（室内水景区）</w:t>
      </w:r>
    </w:p>
    <w:p w14:paraId="10A9B958" w14:textId="77777777" w:rsidR="00466531" w:rsidRPr="00466531" w:rsidRDefault="00466531" w:rsidP="00466531">
      <w:r w:rsidRPr="00466531">
        <w:t>室内水景区因水体蒸发，室内相对湿度取</w:t>
      </w:r>
      <w:r w:rsidRPr="00466531">
        <w:rPr>
          <w:b/>
          <w:bCs/>
        </w:rPr>
        <w:t>50%</w:t>
      </w:r>
      <w:r w:rsidRPr="00466531">
        <w:t>，对应露点温度</w:t>
      </w:r>
      <w:proofErr w:type="spellStart"/>
      <w:r w:rsidRPr="00466531">
        <w:t>tld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=</w:t>
      </w:r>
      <w:r w:rsidRPr="00466531">
        <w:rPr>
          <w:b/>
          <w:bCs/>
        </w:rPr>
        <w:t>9.3℃</w:t>
      </w:r>
      <w:r w:rsidRPr="00466531">
        <w:t>，重新验算关键部位：</w:t>
      </w:r>
    </w:p>
    <w:p w14:paraId="5A3810A7" w14:textId="77777777" w:rsidR="00466531" w:rsidRPr="00466531" w:rsidRDefault="00466531" w:rsidP="00466531">
      <w:r w:rsidRPr="00466531">
        <w:t>表格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106"/>
        <w:gridCol w:w="2551"/>
        <w:gridCol w:w="945"/>
      </w:tblGrid>
      <w:tr w:rsidR="00466531" w:rsidRPr="00466531" w14:paraId="3B2F2046" w14:textId="77777777" w:rsidTr="004665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E3AC89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围护结构部位</w:t>
            </w:r>
          </w:p>
        </w:tc>
        <w:tc>
          <w:tcPr>
            <w:tcW w:w="0" w:type="auto"/>
            <w:vAlign w:val="center"/>
            <w:hideMark/>
          </w:tcPr>
          <w:p w14:paraId="405EE3C1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内表面温度</w:t>
            </w:r>
            <w:proofErr w:type="spellStart"/>
            <w:r w:rsidRPr="00466531">
              <w:t>tni</w:t>
            </w:r>
            <w:proofErr w:type="spellEnd"/>
            <w:r w:rsidRPr="00466531">
              <w:rPr>
                <w:rFonts w:ascii="Times New Roman" w:hAnsi="Times New Roman" w:cs="Times New Roman"/>
              </w:rPr>
              <w:t>​</w:t>
            </w:r>
            <w:r w:rsidRPr="00466531">
              <w:rPr>
                <w:b/>
                <w:bCs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135430BE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水景区露点温度</w:t>
            </w:r>
            <w:proofErr w:type="spellStart"/>
            <w:r w:rsidRPr="00466531">
              <w:t>tld</w:t>
            </w:r>
            <w:proofErr w:type="spellEnd"/>
            <w:r w:rsidRPr="00466531">
              <w:rPr>
                <w:rFonts w:ascii="Times New Roman" w:hAnsi="Times New Roman" w:cs="Times New Roman"/>
              </w:rPr>
              <w:t>​</w:t>
            </w:r>
            <w:r w:rsidRPr="00466531">
              <w:rPr>
                <w:b/>
                <w:bCs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1FDEA365" w14:textId="77777777" w:rsidR="00466531" w:rsidRPr="00466531" w:rsidRDefault="00466531" w:rsidP="00466531">
            <w:pPr>
              <w:rPr>
                <w:b/>
                <w:bCs/>
              </w:rPr>
            </w:pPr>
            <w:r w:rsidRPr="00466531">
              <w:rPr>
                <w:b/>
                <w:bCs/>
              </w:rPr>
              <w:t>结露判定</w:t>
            </w:r>
          </w:p>
        </w:tc>
      </w:tr>
      <w:tr w:rsidR="00466531" w:rsidRPr="00466531" w14:paraId="31AD5EF5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5FB51" w14:textId="77777777" w:rsidR="00466531" w:rsidRPr="00466531" w:rsidRDefault="00466531" w:rsidP="00466531">
            <w:r w:rsidRPr="00466531">
              <w:t>水景区周边外墙</w:t>
            </w:r>
          </w:p>
        </w:tc>
        <w:tc>
          <w:tcPr>
            <w:tcW w:w="0" w:type="auto"/>
            <w:vAlign w:val="center"/>
            <w:hideMark/>
          </w:tcPr>
          <w:p w14:paraId="0CB71CC2" w14:textId="77777777" w:rsidR="00466531" w:rsidRPr="00466531" w:rsidRDefault="00466531" w:rsidP="00466531">
            <w:r w:rsidRPr="00466531">
              <w:t>19.10</w:t>
            </w:r>
          </w:p>
        </w:tc>
        <w:tc>
          <w:tcPr>
            <w:tcW w:w="0" w:type="auto"/>
            <w:vAlign w:val="center"/>
            <w:hideMark/>
          </w:tcPr>
          <w:p w14:paraId="67D6F925" w14:textId="77777777" w:rsidR="00466531" w:rsidRPr="00466531" w:rsidRDefault="00466531" w:rsidP="00466531">
            <w:r w:rsidRPr="00466531">
              <w:t>9.3</w:t>
            </w:r>
          </w:p>
        </w:tc>
        <w:tc>
          <w:tcPr>
            <w:tcW w:w="0" w:type="auto"/>
            <w:vAlign w:val="center"/>
            <w:hideMark/>
          </w:tcPr>
          <w:p w14:paraId="3D20E2E6" w14:textId="77777777" w:rsidR="00466531" w:rsidRPr="00466531" w:rsidRDefault="00466531" w:rsidP="00466531">
            <w:r w:rsidRPr="00466531">
              <w:t>不结露</w:t>
            </w:r>
          </w:p>
        </w:tc>
      </w:tr>
      <w:tr w:rsidR="00466531" w:rsidRPr="00466531" w14:paraId="6722EAC7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0A8D4" w14:textId="77777777" w:rsidR="00466531" w:rsidRPr="00466531" w:rsidRDefault="00466531" w:rsidP="00466531">
            <w:r w:rsidRPr="00466531">
              <w:t>水景区外窗</w:t>
            </w:r>
          </w:p>
        </w:tc>
        <w:tc>
          <w:tcPr>
            <w:tcW w:w="0" w:type="auto"/>
            <w:vAlign w:val="center"/>
            <w:hideMark/>
          </w:tcPr>
          <w:p w14:paraId="76F9C652" w14:textId="77777777" w:rsidR="00466531" w:rsidRPr="00466531" w:rsidRDefault="00466531" w:rsidP="00466531">
            <w:r w:rsidRPr="00466531">
              <w:t>17.13</w:t>
            </w:r>
          </w:p>
        </w:tc>
        <w:tc>
          <w:tcPr>
            <w:tcW w:w="0" w:type="auto"/>
            <w:vAlign w:val="center"/>
            <w:hideMark/>
          </w:tcPr>
          <w:p w14:paraId="673A3AE9" w14:textId="77777777" w:rsidR="00466531" w:rsidRPr="00466531" w:rsidRDefault="00466531" w:rsidP="00466531">
            <w:r w:rsidRPr="00466531">
              <w:t>9.3</w:t>
            </w:r>
          </w:p>
        </w:tc>
        <w:tc>
          <w:tcPr>
            <w:tcW w:w="0" w:type="auto"/>
            <w:vAlign w:val="center"/>
            <w:hideMark/>
          </w:tcPr>
          <w:p w14:paraId="3FF2F80D" w14:textId="77777777" w:rsidR="00466531" w:rsidRPr="00466531" w:rsidRDefault="00466531" w:rsidP="00466531">
            <w:r w:rsidRPr="00466531">
              <w:t>不结露</w:t>
            </w:r>
          </w:p>
        </w:tc>
      </w:tr>
      <w:tr w:rsidR="00466531" w:rsidRPr="00466531" w14:paraId="5B8AFF8D" w14:textId="77777777" w:rsidTr="004665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5CF40" w14:textId="77777777" w:rsidR="00466531" w:rsidRPr="00466531" w:rsidRDefault="00466531" w:rsidP="00466531">
            <w:r w:rsidRPr="00466531">
              <w:t>水景区地面</w:t>
            </w:r>
          </w:p>
        </w:tc>
        <w:tc>
          <w:tcPr>
            <w:tcW w:w="0" w:type="auto"/>
            <w:vAlign w:val="center"/>
            <w:hideMark/>
          </w:tcPr>
          <w:p w14:paraId="2B3CA6DD" w14:textId="77777777" w:rsidR="00466531" w:rsidRPr="00466531" w:rsidRDefault="00466531" w:rsidP="00466531">
            <w:r w:rsidRPr="00466531">
              <w:t>18.60</w:t>
            </w:r>
          </w:p>
        </w:tc>
        <w:tc>
          <w:tcPr>
            <w:tcW w:w="0" w:type="auto"/>
            <w:vAlign w:val="center"/>
            <w:hideMark/>
          </w:tcPr>
          <w:p w14:paraId="50DA333E" w14:textId="77777777" w:rsidR="00466531" w:rsidRPr="00466531" w:rsidRDefault="00466531" w:rsidP="00466531">
            <w:r w:rsidRPr="00466531">
              <w:t>9.3</w:t>
            </w:r>
          </w:p>
        </w:tc>
        <w:tc>
          <w:tcPr>
            <w:tcW w:w="0" w:type="auto"/>
            <w:vAlign w:val="center"/>
            <w:hideMark/>
          </w:tcPr>
          <w:p w14:paraId="5DECABE3" w14:textId="77777777" w:rsidR="00466531" w:rsidRPr="00466531" w:rsidRDefault="00466531" w:rsidP="00466531">
            <w:r w:rsidRPr="00466531">
              <w:t>不结露</w:t>
            </w:r>
          </w:p>
        </w:tc>
      </w:tr>
    </w:tbl>
    <w:p w14:paraId="7E7AA720" w14:textId="77777777" w:rsidR="00466531" w:rsidRPr="00466531" w:rsidRDefault="00466531" w:rsidP="00466531">
      <w:r w:rsidRPr="00466531">
        <w:t>四、关键</w:t>
      </w:r>
      <w:proofErr w:type="gramStart"/>
      <w:r w:rsidRPr="00466531">
        <w:t>节点防结露</w:t>
      </w:r>
      <w:proofErr w:type="gramEnd"/>
      <w:r w:rsidRPr="00466531">
        <w:t>验算</w:t>
      </w:r>
    </w:p>
    <w:p w14:paraId="426A6DD6" w14:textId="77777777" w:rsidR="00466531" w:rsidRPr="00466531" w:rsidRDefault="00466531" w:rsidP="00466531">
      <w:r w:rsidRPr="00466531">
        <w:t>针对围护结构易结露薄弱节点（外门窗框与墙体接缝、外墙阴阳角、地面与墙面交接处）进行专项验算，采取</w:t>
      </w:r>
      <w:r w:rsidRPr="00466531">
        <w:rPr>
          <w:b/>
          <w:bCs/>
        </w:rPr>
        <w:t>保温加强、密封防渗</w:t>
      </w:r>
      <w:r w:rsidRPr="00466531">
        <w:t>构造措施后，节点热阻均</w:t>
      </w:r>
      <w:proofErr w:type="gramStart"/>
      <w:r w:rsidRPr="00466531">
        <w:t>较主体</w:t>
      </w:r>
      <w:proofErr w:type="gramEnd"/>
      <w:r w:rsidRPr="00466531">
        <w:t>部位提升≥20%，计算得节点内表面温度 **≥15.2℃**，均高于室内及水景区露点温度，无结露风险。</w:t>
      </w:r>
    </w:p>
    <w:p w14:paraId="08048449" w14:textId="77777777" w:rsidR="00466531" w:rsidRPr="00466531" w:rsidRDefault="00466531" w:rsidP="00466531">
      <w:r w:rsidRPr="00466531">
        <w:t>薄弱节点</w:t>
      </w:r>
      <w:proofErr w:type="gramStart"/>
      <w:r w:rsidRPr="00466531">
        <w:t>构造防结露</w:t>
      </w:r>
      <w:proofErr w:type="gramEnd"/>
      <w:r w:rsidRPr="00466531">
        <w:t>措施</w:t>
      </w:r>
    </w:p>
    <w:p w14:paraId="30539A52" w14:textId="77777777" w:rsidR="00466531" w:rsidRPr="00466531" w:rsidRDefault="00466531" w:rsidP="00466531">
      <w:pPr>
        <w:numPr>
          <w:ilvl w:val="0"/>
          <w:numId w:val="2"/>
        </w:numPr>
      </w:pPr>
      <w:r w:rsidRPr="00466531">
        <w:t>外门窗框与墙体接缝：采用聚氨酯发泡填充 + 中性硅酮耐候密封胶密封，框体周边粘贴 50mm 厚 A 级石墨保温条，提升节点热阻；</w:t>
      </w:r>
    </w:p>
    <w:p w14:paraId="1253FF4D" w14:textId="77777777" w:rsidR="00466531" w:rsidRPr="00466531" w:rsidRDefault="00466531" w:rsidP="00466531">
      <w:pPr>
        <w:numPr>
          <w:ilvl w:val="0"/>
          <w:numId w:val="2"/>
        </w:numPr>
      </w:pPr>
      <w:r w:rsidRPr="00466531">
        <w:t>外墙阴阳角：保温板错缝搭接，附加耐碱玻纤网格布加强，保温层厚度不折减，避免热桥；</w:t>
      </w:r>
    </w:p>
    <w:p w14:paraId="3B75F9B3" w14:textId="77777777" w:rsidR="00466531" w:rsidRPr="00466531" w:rsidRDefault="00466531" w:rsidP="00466531">
      <w:pPr>
        <w:numPr>
          <w:ilvl w:val="0"/>
          <w:numId w:val="2"/>
        </w:numPr>
      </w:pPr>
      <w:r w:rsidRPr="00466531">
        <w:t>地面与墙面交接处：首层地面做 20mm 厚防水砂浆防潮层，墙面保温层下翻至地面 300mm，形成保温防潮封闭圈；</w:t>
      </w:r>
    </w:p>
    <w:p w14:paraId="37F921DE" w14:textId="77777777" w:rsidR="00466531" w:rsidRPr="00466531" w:rsidRDefault="00466531" w:rsidP="00466531">
      <w:pPr>
        <w:numPr>
          <w:ilvl w:val="0"/>
          <w:numId w:val="2"/>
        </w:numPr>
      </w:pPr>
      <w:r w:rsidRPr="00466531">
        <w:t>外门周边：设置保温门斗，门体填充高密度挤塑保温板，门框与墙体接缝</w:t>
      </w:r>
      <w:proofErr w:type="gramStart"/>
      <w:r w:rsidRPr="00466531">
        <w:t>做保</w:t>
      </w:r>
      <w:proofErr w:type="gramEnd"/>
      <w:r w:rsidRPr="00466531">
        <w:t>温密封处理。</w:t>
      </w:r>
    </w:p>
    <w:p w14:paraId="6B951351" w14:textId="77777777" w:rsidR="00466531" w:rsidRPr="00466531" w:rsidRDefault="00466531" w:rsidP="00466531">
      <w:r w:rsidRPr="00466531">
        <w:t>五、</w:t>
      </w:r>
      <w:proofErr w:type="gramStart"/>
      <w:r w:rsidRPr="00466531">
        <w:t>防结露</w:t>
      </w:r>
      <w:proofErr w:type="gramEnd"/>
      <w:r w:rsidRPr="00466531">
        <w:t>辅助保障措施</w:t>
      </w:r>
    </w:p>
    <w:p w14:paraId="51130A2E" w14:textId="77777777" w:rsidR="00466531" w:rsidRPr="00466531" w:rsidRDefault="00466531" w:rsidP="00466531">
      <w:pPr>
        <w:numPr>
          <w:ilvl w:val="0"/>
          <w:numId w:val="3"/>
        </w:numPr>
      </w:pPr>
      <w:r w:rsidRPr="00466531">
        <w:rPr>
          <w:b/>
          <w:bCs/>
        </w:rPr>
        <w:t>通风除湿</w:t>
      </w:r>
      <w:r w:rsidRPr="00466531">
        <w:t>：室内水景区设置机械排风系统，配合自然通风优化设计，控制室内</w:t>
      </w:r>
      <w:r w:rsidRPr="00466531">
        <w:lastRenderedPageBreak/>
        <w:t>相对湿度不超过 50%，降低露点温度；</w:t>
      </w:r>
    </w:p>
    <w:p w14:paraId="627A5502" w14:textId="77777777" w:rsidR="00466531" w:rsidRPr="00466531" w:rsidRDefault="00466531" w:rsidP="00466531">
      <w:pPr>
        <w:numPr>
          <w:ilvl w:val="0"/>
          <w:numId w:val="3"/>
        </w:numPr>
      </w:pPr>
      <w:r w:rsidRPr="00466531">
        <w:rPr>
          <w:b/>
          <w:bCs/>
        </w:rPr>
        <w:t>热桥阻断</w:t>
      </w:r>
      <w:r w:rsidRPr="00466531">
        <w:t>：围护结构所有金属构件（如门窗固定片、保温锚栓）均采用塑料垫片隔离，避免冷桥形成；</w:t>
      </w:r>
    </w:p>
    <w:p w14:paraId="0A1C26D0" w14:textId="77777777" w:rsidR="00466531" w:rsidRPr="00466531" w:rsidRDefault="00466531" w:rsidP="00466531">
      <w:pPr>
        <w:numPr>
          <w:ilvl w:val="0"/>
          <w:numId w:val="3"/>
        </w:numPr>
      </w:pPr>
      <w:r w:rsidRPr="00466531">
        <w:rPr>
          <w:b/>
          <w:bCs/>
        </w:rPr>
        <w:t>材料防潮</w:t>
      </w:r>
      <w:r w:rsidRPr="00466531">
        <w:t>：围护结构内侧采用防潮涂料、防水石膏板</w:t>
      </w:r>
      <w:proofErr w:type="gramStart"/>
      <w:r w:rsidRPr="00466531">
        <w:t>等耐潮材料</w:t>
      </w:r>
      <w:proofErr w:type="gramEnd"/>
      <w:r w:rsidRPr="00466531">
        <w:t>，即使局部出现微量凝露也可快速干燥，避免霉变；</w:t>
      </w:r>
    </w:p>
    <w:p w14:paraId="7509C16A" w14:textId="77777777" w:rsidR="00466531" w:rsidRPr="00466531" w:rsidRDefault="00466531" w:rsidP="00466531">
      <w:pPr>
        <w:numPr>
          <w:ilvl w:val="0"/>
          <w:numId w:val="3"/>
        </w:numPr>
      </w:pPr>
      <w:r w:rsidRPr="00466531">
        <w:rPr>
          <w:b/>
          <w:bCs/>
        </w:rPr>
        <w:t>智能监控</w:t>
      </w:r>
      <w:r w:rsidRPr="00466531">
        <w:t>：室内关键区域（水景区、卫生间）设置温湿度传感器，实时监测环境参数，超阈值时自动开启通风除湿设备。</w:t>
      </w:r>
    </w:p>
    <w:p w14:paraId="124E0722" w14:textId="77777777" w:rsidR="00466531" w:rsidRPr="00466531" w:rsidRDefault="00466531" w:rsidP="00466531">
      <w:r w:rsidRPr="00466531">
        <w:t>六、验算结果分析</w:t>
      </w:r>
    </w:p>
    <w:p w14:paraId="56744E22" w14:textId="77777777" w:rsidR="00466531" w:rsidRPr="00466531" w:rsidRDefault="00466531" w:rsidP="00466531">
      <w:pPr>
        <w:numPr>
          <w:ilvl w:val="0"/>
          <w:numId w:val="4"/>
        </w:numPr>
      </w:pPr>
      <w:r w:rsidRPr="00466531">
        <w:t>本项目冬季采暖工况下，</w:t>
      </w:r>
      <w:r w:rsidRPr="00466531">
        <w:rPr>
          <w:b/>
          <w:bCs/>
        </w:rPr>
        <w:t>所有围护结构主体部位</w:t>
      </w:r>
      <w:r w:rsidRPr="00466531">
        <w:t>内表面温度均在 16.02℃~19.50℃之间，远高于室内常规区域露点温度 5.3℃及水景区露点温度 9.3℃，满足</w:t>
      </w:r>
      <w:proofErr w:type="spellStart"/>
      <w:r w:rsidRPr="00466531">
        <w:t>tni</w:t>
      </w:r>
      <w:proofErr w:type="spellEnd"/>
      <w:r w:rsidRPr="00466531">
        <w:rPr>
          <w:rFonts w:ascii="Times New Roman" w:hAnsi="Times New Roman" w:cs="Times New Roman"/>
        </w:rPr>
        <w:t>​</w:t>
      </w:r>
      <w:r w:rsidRPr="00466531">
        <w:t>&gt;</w:t>
      </w:r>
      <w:proofErr w:type="spellStart"/>
      <w:r w:rsidRPr="00466531">
        <w:t>tld</w:t>
      </w:r>
      <w:proofErr w:type="spellEnd"/>
      <w:r w:rsidRPr="00466531">
        <w:rPr>
          <w:rFonts w:ascii="Times New Roman" w:hAnsi="Times New Roman" w:cs="Times New Roman"/>
        </w:rPr>
        <w:t>​</w:t>
      </w:r>
      <w:proofErr w:type="gramStart"/>
      <w:r w:rsidRPr="00466531">
        <w:t>的防结露</w:t>
      </w:r>
      <w:proofErr w:type="gramEnd"/>
      <w:r w:rsidRPr="00466531">
        <w:t>判定要求；</w:t>
      </w:r>
    </w:p>
    <w:p w14:paraId="46E663B0" w14:textId="77777777" w:rsidR="00466531" w:rsidRPr="00466531" w:rsidRDefault="00466531" w:rsidP="00466531">
      <w:pPr>
        <w:numPr>
          <w:ilvl w:val="0"/>
          <w:numId w:val="4"/>
        </w:numPr>
      </w:pPr>
      <w:r w:rsidRPr="00466531">
        <w:rPr>
          <w:b/>
          <w:bCs/>
        </w:rPr>
        <w:t>薄弱节点</w:t>
      </w:r>
      <w:r w:rsidRPr="00466531">
        <w:t>经保温加强、热桥阻断构造处理后，内表面温度均≥15.2℃，无结露风险，围护结构热工性能均匀，无局部冷桥缺陷；</w:t>
      </w:r>
    </w:p>
    <w:p w14:paraId="0F8B4203" w14:textId="77777777" w:rsidR="00466531" w:rsidRPr="00466531" w:rsidRDefault="00466531" w:rsidP="00466531">
      <w:pPr>
        <w:numPr>
          <w:ilvl w:val="0"/>
          <w:numId w:val="4"/>
        </w:numPr>
      </w:pPr>
      <w:r w:rsidRPr="00466531">
        <w:t>配套的通风除湿、材料防潮、智能监控等措施，进一步降低了结露可能性，保障围护结构在冬季不同使用工况下均能</w:t>
      </w:r>
      <w:proofErr w:type="gramStart"/>
      <w:r w:rsidRPr="00466531">
        <w:t>满足防结露</w:t>
      </w:r>
      <w:proofErr w:type="gramEnd"/>
      <w:r w:rsidRPr="00466531">
        <w:t>要求。</w:t>
      </w:r>
    </w:p>
    <w:p w14:paraId="6C703638" w14:textId="77777777" w:rsidR="00466531" w:rsidRPr="00466531" w:rsidRDefault="00466531" w:rsidP="00466531">
      <w:r w:rsidRPr="00466531">
        <w:t>七、验算结论</w:t>
      </w:r>
    </w:p>
    <w:p w14:paraId="27DCE6F9" w14:textId="77777777" w:rsidR="00466531" w:rsidRPr="00466531" w:rsidRDefault="00466531" w:rsidP="00466531">
      <w:r w:rsidRPr="00466531">
        <w:t>本项目霍邱县冯井镇蝎子山游客中心绿色建筑改造工程，围护结构（屋顶、外墙、外门窗 / 幕墙、地面、楼板）及薄弱节点的热工设计符合《民用建筑热工设计规范》GB 50176-2016 要求，</w:t>
      </w:r>
      <w:r w:rsidRPr="00466531">
        <w:rPr>
          <w:b/>
          <w:bCs/>
        </w:rPr>
        <w:t>冬季采暖工况下内表面温度均高于室内空气露点温度，无结露风险</w:t>
      </w:r>
      <w:r w:rsidRPr="00466531">
        <w:t>，</w:t>
      </w:r>
      <w:proofErr w:type="gramStart"/>
      <w:r w:rsidRPr="00466531">
        <w:t>防结露</w:t>
      </w:r>
      <w:proofErr w:type="gramEnd"/>
      <w:r w:rsidRPr="00466531">
        <w:t>构造措施合理、可靠，满足建筑使用功能及绿色建筑热工性能相关要求。</w:t>
      </w:r>
    </w:p>
    <w:p w14:paraId="4C592913" w14:textId="77777777" w:rsidR="00466531" w:rsidRPr="00466531" w:rsidRDefault="00466531"/>
    <w:sectPr w:rsidR="00466531" w:rsidRPr="0046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6F17"/>
    <w:multiLevelType w:val="multilevel"/>
    <w:tmpl w:val="09F4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10617"/>
    <w:multiLevelType w:val="multilevel"/>
    <w:tmpl w:val="A74A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303E7"/>
    <w:multiLevelType w:val="multilevel"/>
    <w:tmpl w:val="D7CA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C7AD4"/>
    <w:multiLevelType w:val="multilevel"/>
    <w:tmpl w:val="EB08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840110">
    <w:abstractNumId w:val="2"/>
  </w:num>
  <w:num w:numId="2" w16cid:durableId="1266035056">
    <w:abstractNumId w:val="1"/>
  </w:num>
  <w:num w:numId="3" w16cid:durableId="524445475">
    <w:abstractNumId w:val="3"/>
  </w:num>
  <w:num w:numId="4" w16cid:durableId="199139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31"/>
    <w:rsid w:val="004003BA"/>
    <w:rsid w:val="004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4521"/>
  <w15:chartTrackingRefBased/>
  <w15:docId w15:val="{45010B52-E52C-404C-9AE6-E00D9325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伟国 何</dc:creator>
  <cp:keywords/>
  <dc:description/>
  <cp:lastModifiedBy>伟国 何</cp:lastModifiedBy>
  <cp:revision>1</cp:revision>
  <dcterms:created xsi:type="dcterms:W3CDTF">2026-03-28T15:25:00Z</dcterms:created>
  <dcterms:modified xsi:type="dcterms:W3CDTF">2026-03-28T15:26:00Z</dcterms:modified>
</cp:coreProperties>
</file>