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3542" w14:textId="7D29DE68" w:rsidR="003F7740" w:rsidRPr="003F7740" w:rsidRDefault="003F7740" w:rsidP="003F7740">
      <w:r w:rsidRPr="007C3232">
        <w:rPr>
          <w:sz w:val="48"/>
          <w:szCs w:val="48"/>
        </w:rPr>
        <w:t>霍邱县冯井镇蝎子山游客中心绿色建筑改造工程</w:t>
      </w:r>
      <w:r w:rsidRPr="003F7740">
        <w:rPr>
          <w:sz w:val="48"/>
          <w:szCs w:val="48"/>
        </w:rPr>
        <w:t>围护结构隔热性能计算书</w:t>
      </w:r>
    </w:p>
    <w:p w14:paraId="7DDCDFC3" w14:textId="77777777" w:rsidR="003F7740" w:rsidRPr="003F7740" w:rsidRDefault="003F7740" w:rsidP="003F7740">
      <w:r w:rsidRPr="003F7740">
        <w:rPr>
          <w:b/>
          <w:bCs/>
        </w:rPr>
        <w:t>依据标准</w:t>
      </w:r>
      <w:r w:rsidRPr="003F7740">
        <w:t>：GB 50176-2016《民用建筑热工设计规范》、GB 55015-2021《建筑节能与可再生能源利用通用规范》、GB 50736-2012《民用建筑供暖通风与空气调节设计规范》</w:t>
      </w:r>
    </w:p>
    <w:p w14:paraId="1D813A79" w14:textId="77777777" w:rsidR="003F7740" w:rsidRPr="003F7740" w:rsidRDefault="003F7740" w:rsidP="003F7740">
      <w:r w:rsidRPr="003F7740">
        <w:rPr>
          <w:b/>
          <w:bCs/>
        </w:rPr>
        <w:t>工程概况</w:t>
      </w:r>
      <w:r w:rsidRPr="003F7740">
        <w:t>：本项目为地上 3 层框架结构公共建筑，建筑面积 1825㎡，地处</w:t>
      </w:r>
      <w:r w:rsidRPr="003F7740">
        <w:rPr>
          <w:b/>
          <w:bCs/>
        </w:rPr>
        <w:t>夏热冬冷 A 区（六安霍邱）</w:t>
      </w:r>
      <w:r w:rsidRPr="003F7740">
        <w:t>，夏季高温高湿、太阳辐射强烈，本次针对屋顶、外墙、外门窗（幕墙）等主要围护结构进行夏季隔热性能计算，验证其内表面最高温度、隔热系数等指标是否满足规范要求，保障室内热舒适。</w:t>
      </w:r>
    </w:p>
    <w:p w14:paraId="01ACE68A" w14:textId="77777777" w:rsidR="003F7740" w:rsidRPr="003F7740" w:rsidRDefault="003F7740" w:rsidP="003F7740">
      <w:r w:rsidRPr="003F7740">
        <w:t>一、计算原则与判定依据</w:t>
      </w:r>
    </w:p>
    <w:p w14:paraId="6114E08C" w14:textId="77777777" w:rsidR="003F7740" w:rsidRPr="003F7740" w:rsidRDefault="003F7740" w:rsidP="003F7740">
      <w:pPr>
        <w:numPr>
          <w:ilvl w:val="0"/>
          <w:numId w:val="1"/>
        </w:numPr>
      </w:pPr>
      <w:r w:rsidRPr="003F7740">
        <w:rPr>
          <w:b/>
          <w:bCs/>
        </w:rPr>
        <w:t>计算核心</w:t>
      </w:r>
      <w:r w:rsidRPr="003F7740">
        <w:t>：夏季空调工况下，验算围护结构</w:t>
      </w:r>
      <w:r w:rsidRPr="003F7740">
        <w:rPr>
          <w:b/>
          <w:bCs/>
        </w:rPr>
        <w:t>内表面最高温度</w:t>
      </w:r>
      <w:r w:rsidRPr="003F7740">
        <w:t>及</w:t>
      </w:r>
      <w:r w:rsidRPr="003F7740">
        <w:rPr>
          <w:b/>
          <w:bCs/>
        </w:rPr>
        <w:t>隔热性能指标</w:t>
      </w:r>
      <w:r w:rsidRPr="003F7740">
        <w:t>，非空调工况下验证围护结构隔热能力是否符合夏热冬</w:t>
      </w:r>
      <w:proofErr w:type="gramStart"/>
      <w:r w:rsidRPr="003F7740">
        <w:t>冷地区</w:t>
      </w:r>
      <w:proofErr w:type="gramEnd"/>
      <w:r w:rsidRPr="003F7740">
        <w:t>隔热要求；</w:t>
      </w:r>
    </w:p>
    <w:p w14:paraId="78F73F56" w14:textId="77777777" w:rsidR="003F7740" w:rsidRPr="003F7740" w:rsidRDefault="003F7740" w:rsidP="003F7740">
      <w:pPr>
        <w:numPr>
          <w:ilvl w:val="0"/>
          <w:numId w:val="1"/>
        </w:numPr>
      </w:pPr>
      <w:r w:rsidRPr="003F7740">
        <w:rPr>
          <w:b/>
          <w:bCs/>
        </w:rPr>
        <w:t>判定标准</w:t>
      </w:r>
      <w:r w:rsidRPr="003F7740">
        <w:t>（按 GB 50176-2016）：</w:t>
      </w:r>
    </w:p>
    <w:p w14:paraId="4045CD57" w14:textId="77777777" w:rsidR="003F7740" w:rsidRPr="003F7740" w:rsidRDefault="003F7740" w:rsidP="003F7740">
      <w:pPr>
        <w:numPr>
          <w:ilvl w:val="1"/>
          <w:numId w:val="1"/>
        </w:numPr>
      </w:pPr>
      <w:r w:rsidRPr="003F7740">
        <w:t>空调房间：围护结构内表面最高温度</w:t>
      </w:r>
      <w:proofErr w:type="spellStart"/>
      <w:r w:rsidRPr="003F7740">
        <w:t>tsi,max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rPr>
          <w:rFonts w:ascii="等线" w:eastAsia="等线" w:hAnsi="等线" w:cs="等线" w:hint="eastAsia"/>
        </w:rPr>
        <w:t>≤</w:t>
      </w:r>
      <w:r w:rsidRPr="003F7740">
        <w:t xml:space="preserve"> 室内空气计算温度</w:t>
      </w:r>
      <w:proofErr w:type="spellStart"/>
      <w:r w:rsidRPr="003F7740">
        <w:t>tn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（26℃）；</w:t>
      </w:r>
    </w:p>
    <w:p w14:paraId="50E34943" w14:textId="77777777" w:rsidR="003F7740" w:rsidRPr="003F7740" w:rsidRDefault="003F7740" w:rsidP="003F7740">
      <w:pPr>
        <w:numPr>
          <w:ilvl w:val="1"/>
          <w:numId w:val="1"/>
        </w:numPr>
      </w:pPr>
      <w:r w:rsidRPr="003F7740">
        <w:t>屋顶 / 外墙（非空调）：夏热冬</w:t>
      </w:r>
      <w:proofErr w:type="gramStart"/>
      <w:r w:rsidRPr="003F7740">
        <w:t>冷地区</w:t>
      </w:r>
      <w:proofErr w:type="gramEnd"/>
      <w:r w:rsidRPr="003F7740">
        <w:t>屋面隔热系数D</w:t>
      </w:r>
      <w:r w:rsidRPr="003F7740">
        <w:rPr>
          <w:rFonts w:ascii="Cambria Math" w:hAnsi="Cambria Math" w:cs="Cambria Math"/>
        </w:rPr>
        <w:t>⋅</w:t>
      </w:r>
      <w:r w:rsidRPr="003F7740">
        <w:t>R</w:t>
      </w:r>
      <w:r w:rsidRPr="003F7740">
        <w:rPr>
          <w:rFonts w:ascii="等线" w:eastAsia="等线" w:hAnsi="等线" w:cs="等线" w:hint="eastAsia"/>
        </w:rPr>
        <w:t>≥</w:t>
      </w:r>
      <w:r w:rsidRPr="003F7740">
        <w:t>2.5，外墙隔热系数D</w:t>
      </w:r>
      <w:r w:rsidRPr="003F7740">
        <w:rPr>
          <w:rFonts w:ascii="Cambria Math" w:hAnsi="Cambria Math" w:cs="Cambria Math"/>
        </w:rPr>
        <w:t>⋅</w:t>
      </w:r>
      <w:r w:rsidRPr="003F7740">
        <w:t>R</w:t>
      </w:r>
      <w:r w:rsidRPr="003F7740">
        <w:rPr>
          <w:rFonts w:ascii="等线" w:eastAsia="等线" w:hAnsi="等线" w:cs="等线" w:hint="eastAsia"/>
        </w:rPr>
        <w:t>≥</w:t>
      </w:r>
      <w:r w:rsidRPr="003F7740">
        <w:t>1.5（D为热惰性指标，R为总热阻）；</w:t>
      </w:r>
    </w:p>
    <w:p w14:paraId="3A7E7432" w14:textId="77777777" w:rsidR="003F7740" w:rsidRPr="003F7740" w:rsidRDefault="003F7740" w:rsidP="003F7740">
      <w:pPr>
        <w:numPr>
          <w:ilvl w:val="0"/>
          <w:numId w:val="1"/>
        </w:numPr>
      </w:pPr>
      <w:r w:rsidRPr="003F7740">
        <w:rPr>
          <w:b/>
          <w:bCs/>
        </w:rPr>
        <w:t>计算方法</w:t>
      </w:r>
      <w:r w:rsidRPr="003F7740">
        <w:t>：采用稳态计算结合室外综合温度，按规范公式计算围护结构内表面最高温度及隔热系数，室外气象参数选取六安地区夏季典型值。</w:t>
      </w:r>
    </w:p>
    <w:p w14:paraId="203C6860" w14:textId="77777777" w:rsidR="003F7740" w:rsidRPr="003F7740" w:rsidRDefault="003F7740" w:rsidP="003F7740">
      <w:r w:rsidRPr="003F7740">
        <w:t>二、计算基础参数</w:t>
      </w:r>
    </w:p>
    <w:p w14:paraId="487CE5EB" w14:textId="77777777" w:rsidR="003F7740" w:rsidRPr="003F7740" w:rsidRDefault="003F7740" w:rsidP="003F7740">
      <w:r w:rsidRPr="003F7740">
        <w:t>（一）室外夏季气象参数（六安霍邱，夏热冬冷 A 区）</w:t>
      </w:r>
    </w:p>
    <w:p w14:paraId="7A8D474D" w14:textId="77777777" w:rsidR="003F7740" w:rsidRPr="003F7740" w:rsidRDefault="003F7740" w:rsidP="003F7740">
      <w:r w:rsidRPr="003F7740">
        <w:t>夏季室外计算干球温度</w:t>
      </w:r>
      <w:proofErr w:type="spellStart"/>
      <w:r w:rsidRPr="003F7740">
        <w:t>te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：35.2℃；夏季室外平均风速：2.6m/s；</w:t>
      </w:r>
    </w:p>
    <w:p w14:paraId="18F55A7F" w14:textId="77777777" w:rsidR="003F7740" w:rsidRPr="003F7740" w:rsidRDefault="003F7740" w:rsidP="003F7740">
      <w:r w:rsidRPr="003F7740">
        <w:t>屋面太阳辐射吸收系数</w:t>
      </w:r>
      <w:proofErr w:type="spellStart"/>
      <w:r w:rsidRPr="003F7740">
        <w:t>ρs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：0.62（浅色系）；外墙太阳辐射吸收系数</w:t>
      </w:r>
      <w:proofErr w:type="spellStart"/>
      <w:r w:rsidRPr="003F7740">
        <w:t>ρs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：0.49（浅色系）；</w:t>
      </w:r>
    </w:p>
    <w:p w14:paraId="179D87FD" w14:textId="77777777" w:rsidR="003F7740" w:rsidRPr="003F7740" w:rsidRDefault="003F7740" w:rsidP="003F7740">
      <w:r w:rsidRPr="003F7740">
        <w:t>夏季室外综合温度（屋面）屋顶：62.5℃；夏季室外综合温度（外墙）外墙：51.8℃。</w:t>
      </w:r>
    </w:p>
    <w:p w14:paraId="1176C430" w14:textId="77777777" w:rsidR="003F7740" w:rsidRPr="003F7740" w:rsidRDefault="003F7740" w:rsidP="003F7740">
      <w:r w:rsidRPr="003F7740">
        <w:t>（二）室内设计参数（夏季空调工况）</w:t>
      </w:r>
    </w:p>
    <w:p w14:paraId="14511FA9" w14:textId="77777777" w:rsidR="003F7740" w:rsidRPr="003F7740" w:rsidRDefault="003F7740" w:rsidP="003F7740">
      <w:r w:rsidRPr="003F7740">
        <w:t>室内计算温度</w:t>
      </w:r>
      <w:proofErr w:type="spellStart"/>
      <w:r w:rsidRPr="003F7740">
        <w:t>tn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：26℃；室内相对湿度：40%~65%；</w:t>
      </w:r>
    </w:p>
    <w:p w14:paraId="07384F0B" w14:textId="77777777" w:rsidR="003F7740" w:rsidRPr="003F7740" w:rsidRDefault="003F7740" w:rsidP="003F7740">
      <w:r w:rsidRPr="003F7740">
        <w:lastRenderedPageBreak/>
        <w:t>内表面换热系数αn</w:t>
      </w:r>
      <w:r w:rsidRPr="003F7740">
        <w:rPr>
          <w:rFonts w:ascii="Times New Roman" w:hAnsi="Times New Roman" w:cs="Times New Roman"/>
        </w:rPr>
        <w:t>​</w:t>
      </w:r>
      <w:r w:rsidRPr="003F7740">
        <w:t>：8.7W/(㎡</w:t>
      </w:r>
      <w:r w:rsidRPr="003F7740">
        <w:rPr>
          <w:rFonts w:ascii="微软雅黑" w:eastAsia="微软雅黑" w:hAnsi="微软雅黑" w:cs="微软雅黑" w:hint="eastAsia"/>
        </w:rPr>
        <w:t>・</w:t>
      </w:r>
      <w:r w:rsidRPr="003F7740">
        <w:t>K)；外表面换热系数αe</w:t>
      </w:r>
      <w:r w:rsidRPr="003F7740">
        <w:rPr>
          <w:rFonts w:ascii="Times New Roman" w:hAnsi="Times New Roman" w:cs="Times New Roman"/>
        </w:rPr>
        <w:t>​</w:t>
      </w:r>
      <w:r w:rsidRPr="003F7740">
        <w:t>：23W/(㎡</w:t>
      </w:r>
      <w:r w:rsidRPr="003F7740">
        <w:rPr>
          <w:rFonts w:ascii="微软雅黑" w:eastAsia="微软雅黑" w:hAnsi="微软雅黑" w:cs="微软雅黑" w:hint="eastAsia"/>
        </w:rPr>
        <w:t>・</w:t>
      </w:r>
      <w:r w:rsidRPr="003F7740">
        <w:t>K)（夏季室外有风）。</w:t>
      </w:r>
    </w:p>
    <w:p w14:paraId="163D18C3" w14:textId="77777777" w:rsidR="003F7740" w:rsidRPr="003F7740" w:rsidRDefault="003F7740" w:rsidP="003F7740">
      <w:r w:rsidRPr="003F7740">
        <w:t>（三）围护结构热</w:t>
      </w:r>
      <w:proofErr w:type="gramStart"/>
      <w:r w:rsidRPr="003F7740">
        <w:t>工基础</w:t>
      </w:r>
      <w:proofErr w:type="gramEnd"/>
      <w:r w:rsidRPr="003F7740">
        <w:t>参数（取自主体与围护结构计算书）</w:t>
      </w:r>
    </w:p>
    <w:p w14:paraId="40EBBA6B" w14:textId="77777777" w:rsidR="003F7740" w:rsidRPr="003F7740" w:rsidRDefault="003F7740" w:rsidP="003F7740">
      <w:r w:rsidRPr="003F7740">
        <w:t>表格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966"/>
        <w:gridCol w:w="1864"/>
        <w:gridCol w:w="1165"/>
        <w:gridCol w:w="1982"/>
      </w:tblGrid>
      <w:tr w:rsidR="003F7740" w:rsidRPr="003F7740" w14:paraId="375651B9" w14:textId="77777777" w:rsidTr="003F77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5B82F3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围护结构部位</w:t>
            </w:r>
          </w:p>
        </w:tc>
        <w:tc>
          <w:tcPr>
            <w:tcW w:w="0" w:type="auto"/>
            <w:vAlign w:val="center"/>
            <w:hideMark/>
          </w:tcPr>
          <w:p w14:paraId="07BB6339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传热系数 K [W/(㎡</w:t>
            </w:r>
            <w:r w:rsidRPr="003F7740">
              <w:rPr>
                <w:rFonts w:ascii="微软雅黑" w:eastAsia="微软雅黑" w:hAnsi="微软雅黑" w:cs="微软雅黑" w:hint="eastAsia"/>
                <w:b/>
                <w:bCs/>
              </w:rPr>
              <w:t>・</w:t>
            </w:r>
            <w:r w:rsidRPr="003F7740">
              <w:rPr>
                <w:b/>
                <w:bCs/>
              </w:rPr>
              <w:t>K)]</w:t>
            </w:r>
          </w:p>
        </w:tc>
        <w:tc>
          <w:tcPr>
            <w:tcW w:w="0" w:type="auto"/>
            <w:vAlign w:val="center"/>
            <w:hideMark/>
          </w:tcPr>
          <w:p w14:paraId="3ADA2500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总热阻∑R [(㎡</w:t>
            </w:r>
            <w:r w:rsidRPr="003F7740">
              <w:rPr>
                <w:rFonts w:ascii="微软雅黑" w:eastAsia="微软雅黑" w:hAnsi="微软雅黑" w:cs="微软雅黑" w:hint="eastAsia"/>
                <w:b/>
                <w:bCs/>
              </w:rPr>
              <w:t>・</w:t>
            </w:r>
            <w:r w:rsidRPr="003F7740">
              <w:rPr>
                <w:b/>
                <w:bCs/>
              </w:rPr>
              <w:t>K)/W]</w:t>
            </w:r>
          </w:p>
        </w:tc>
        <w:tc>
          <w:tcPr>
            <w:tcW w:w="0" w:type="auto"/>
            <w:vAlign w:val="center"/>
            <w:hideMark/>
          </w:tcPr>
          <w:p w14:paraId="5DCA39AE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热惰性指标 D</w:t>
            </w:r>
          </w:p>
        </w:tc>
        <w:tc>
          <w:tcPr>
            <w:tcW w:w="0" w:type="auto"/>
            <w:vAlign w:val="center"/>
            <w:hideMark/>
          </w:tcPr>
          <w:p w14:paraId="3213A965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 xml:space="preserve">太阳辐射吸收系数 </w:t>
            </w:r>
            <w:proofErr w:type="spellStart"/>
            <w:r w:rsidRPr="003F7740">
              <w:rPr>
                <w:b/>
                <w:bCs/>
              </w:rPr>
              <w:t>ρs</w:t>
            </w:r>
            <w:proofErr w:type="spellEnd"/>
          </w:p>
        </w:tc>
      </w:tr>
      <w:tr w:rsidR="003F7740" w:rsidRPr="003F7740" w14:paraId="5C0EADEF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9EB5F" w14:textId="77777777" w:rsidR="003F7740" w:rsidRPr="003F7740" w:rsidRDefault="003F7740" w:rsidP="003F7740">
            <w:r w:rsidRPr="003F7740">
              <w:t>屋顶</w:t>
            </w:r>
          </w:p>
        </w:tc>
        <w:tc>
          <w:tcPr>
            <w:tcW w:w="0" w:type="auto"/>
            <w:vAlign w:val="center"/>
            <w:hideMark/>
          </w:tcPr>
          <w:p w14:paraId="171741BA" w14:textId="77777777" w:rsidR="003F7740" w:rsidRPr="003F7740" w:rsidRDefault="003F7740" w:rsidP="003F7740">
            <w:r w:rsidRPr="003F7740">
              <w:t>0.19</w:t>
            </w:r>
          </w:p>
        </w:tc>
        <w:tc>
          <w:tcPr>
            <w:tcW w:w="0" w:type="auto"/>
            <w:vAlign w:val="center"/>
            <w:hideMark/>
          </w:tcPr>
          <w:p w14:paraId="72414878" w14:textId="77777777" w:rsidR="003F7740" w:rsidRPr="003F7740" w:rsidRDefault="003F7740" w:rsidP="003F7740">
            <w:r w:rsidRPr="003F7740">
              <w:t>5.079</w:t>
            </w:r>
          </w:p>
        </w:tc>
        <w:tc>
          <w:tcPr>
            <w:tcW w:w="0" w:type="auto"/>
            <w:vAlign w:val="center"/>
            <w:hideMark/>
          </w:tcPr>
          <w:p w14:paraId="4D8623DF" w14:textId="77777777" w:rsidR="003F7740" w:rsidRPr="003F7740" w:rsidRDefault="003F7740" w:rsidP="003F7740">
            <w:r w:rsidRPr="003F7740">
              <w:t>3.96</w:t>
            </w:r>
          </w:p>
        </w:tc>
        <w:tc>
          <w:tcPr>
            <w:tcW w:w="0" w:type="auto"/>
            <w:vAlign w:val="center"/>
            <w:hideMark/>
          </w:tcPr>
          <w:p w14:paraId="2E1AFAA7" w14:textId="77777777" w:rsidR="003F7740" w:rsidRPr="003F7740" w:rsidRDefault="003F7740" w:rsidP="003F7740">
            <w:r w:rsidRPr="003F7740">
              <w:t>0.62</w:t>
            </w:r>
          </w:p>
        </w:tc>
      </w:tr>
      <w:tr w:rsidR="003F7740" w:rsidRPr="003F7740" w14:paraId="1BE44D86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39ECA" w14:textId="77777777" w:rsidR="003F7740" w:rsidRPr="003F7740" w:rsidRDefault="003F7740" w:rsidP="003F7740">
            <w:r w:rsidRPr="003F7740">
              <w:t>外墙（填充墙）</w:t>
            </w:r>
          </w:p>
        </w:tc>
        <w:tc>
          <w:tcPr>
            <w:tcW w:w="0" w:type="auto"/>
            <w:vAlign w:val="center"/>
            <w:hideMark/>
          </w:tcPr>
          <w:p w14:paraId="695F739D" w14:textId="77777777" w:rsidR="003F7740" w:rsidRPr="003F7740" w:rsidRDefault="003F7740" w:rsidP="003F7740">
            <w:r w:rsidRPr="003F7740">
              <w:t>0.33</w:t>
            </w:r>
          </w:p>
        </w:tc>
        <w:tc>
          <w:tcPr>
            <w:tcW w:w="0" w:type="auto"/>
            <w:vAlign w:val="center"/>
            <w:hideMark/>
          </w:tcPr>
          <w:p w14:paraId="0DE32BC6" w14:textId="77777777" w:rsidR="003F7740" w:rsidRPr="003F7740" w:rsidRDefault="003F7740" w:rsidP="003F7740">
            <w:r w:rsidRPr="003F7740">
              <w:t>2.871</w:t>
            </w:r>
          </w:p>
        </w:tc>
        <w:tc>
          <w:tcPr>
            <w:tcW w:w="0" w:type="auto"/>
            <w:vAlign w:val="center"/>
            <w:hideMark/>
          </w:tcPr>
          <w:p w14:paraId="5F130752" w14:textId="77777777" w:rsidR="003F7740" w:rsidRPr="003F7740" w:rsidRDefault="003F7740" w:rsidP="003F7740">
            <w:r w:rsidRPr="003F7740">
              <w:t>4.29</w:t>
            </w:r>
          </w:p>
        </w:tc>
        <w:tc>
          <w:tcPr>
            <w:tcW w:w="0" w:type="auto"/>
            <w:vAlign w:val="center"/>
            <w:hideMark/>
          </w:tcPr>
          <w:p w14:paraId="780CBE0F" w14:textId="77777777" w:rsidR="003F7740" w:rsidRPr="003F7740" w:rsidRDefault="003F7740" w:rsidP="003F7740">
            <w:r w:rsidRPr="003F7740">
              <w:t>0.49</w:t>
            </w:r>
          </w:p>
        </w:tc>
      </w:tr>
      <w:tr w:rsidR="003F7740" w:rsidRPr="003F7740" w14:paraId="1CFB55C6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EBBC3" w14:textId="77777777" w:rsidR="003F7740" w:rsidRPr="003F7740" w:rsidRDefault="003F7740" w:rsidP="003F7740">
            <w:r w:rsidRPr="003F7740">
              <w:t>外窗 / 幕墙</w:t>
            </w:r>
          </w:p>
        </w:tc>
        <w:tc>
          <w:tcPr>
            <w:tcW w:w="0" w:type="auto"/>
            <w:vAlign w:val="center"/>
            <w:hideMark/>
          </w:tcPr>
          <w:p w14:paraId="38F5F684" w14:textId="77777777" w:rsidR="003F7740" w:rsidRPr="003F7740" w:rsidRDefault="003F7740" w:rsidP="003F7740">
            <w:r w:rsidRPr="003F7740">
              <w:t>1.00（</w:t>
            </w:r>
            <w:proofErr w:type="gramStart"/>
            <w:r w:rsidRPr="003F7740">
              <w:t>双银</w:t>
            </w:r>
            <w:proofErr w:type="gramEnd"/>
            <w:r w:rsidRPr="003F7740">
              <w:t xml:space="preserve"> Low-E）</w:t>
            </w:r>
          </w:p>
        </w:tc>
        <w:tc>
          <w:tcPr>
            <w:tcW w:w="0" w:type="auto"/>
            <w:vAlign w:val="center"/>
            <w:hideMark/>
          </w:tcPr>
          <w:p w14:paraId="4EFEF527" w14:textId="77777777" w:rsidR="003F7740" w:rsidRPr="003F7740" w:rsidRDefault="003F7740" w:rsidP="003F7740">
            <w:r w:rsidRPr="003F7740">
              <w:t>0.850</w:t>
            </w:r>
          </w:p>
        </w:tc>
        <w:tc>
          <w:tcPr>
            <w:tcW w:w="0" w:type="auto"/>
            <w:vAlign w:val="center"/>
            <w:hideMark/>
          </w:tcPr>
          <w:p w14:paraId="260FB2C9" w14:textId="77777777" w:rsidR="003F7740" w:rsidRPr="003F7740" w:rsidRDefault="003F7740" w:rsidP="003F7740">
            <w:r w:rsidRPr="003F7740">
              <w:t>1.20</w:t>
            </w:r>
          </w:p>
        </w:tc>
        <w:tc>
          <w:tcPr>
            <w:tcW w:w="0" w:type="auto"/>
            <w:vAlign w:val="center"/>
            <w:hideMark/>
          </w:tcPr>
          <w:p w14:paraId="434A85C9" w14:textId="77777777" w:rsidR="003F7740" w:rsidRPr="003F7740" w:rsidRDefault="003F7740" w:rsidP="003F7740">
            <w:r w:rsidRPr="003F7740">
              <w:t>-（玻璃遮阳系数 0.23）</w:t>
            </w:r>
          </w:p>
        </w:tc>
      </w:tr>
      <w:tr w:rsidR="003F7740" w:rsidRPr="003F7740" w14:paraId="4F4A035F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65A07" w14:textId="77777777" w:rsidR="003F7740" w:rsidRPr="003F7740" w:rsidRDefault="003F7740" w:rsidP="003F7740">
            <w:r w:rsidRPr="003F7740">
              <w:t>首层周边地面</w:t>
            </w:r>
          </w:p>
        </w:tc>
        <w:tc>
          <w:tcPr>
            <w:tcW w:w="0" w:type="auto"/>
            <w:vAlign w:val="center"/>
            <w:hideMark/>
          </w:tcPr>
          <w:p w14:paraId="0188BB3A" w14:textId="77777777" w:rsidR="003F7740" w:rsidRPr="003F7740" w:rsidRDefault="003F7740" w:rsidP="003F7740">
            <w:r w:rsidRPr="003F7740">
              <w:t>0.52</w:t>
            </w:r>
          </w:p>
        </w:tc>
        <w:tc>
          <w:tcPr>
            <w:tcW w:w="0" w:type="auto"/>
            <w:vAlign w:val="center"/>
            <w:hideMark/>
          </w:tcPr>
          <w:p w14:paraId="75835D22" w14:textId="77777777" w:rsidR="003F7740" w:rsidRPr="003F7740" w:rsidRDefault="003F7740" w:rsidP="003F7740">
            <w:r w:rsidRPr="003F7740">
              <w:t>0.090</w:t>
            </w:r>
          </w:p>
        </w:tc>
        <w:tc>
          <w:tcPr>
            <w:tcW w:w="0" w:type="auto"/>
            <w:vAlign w:val="center"/>
            <w:hideMark/>
          </w:tcPr>
          <w:p w14:paraId="4B98E2FA" w14:textId="77777777" w:rsidR="003F7740" w:rsidRPr="003F7740" w:rsidRDefault="003F7740" w:rsidP="003F7740">
            <w:r w:rsidRPr="003F7740">
              <w:t>2.15</w:t>
            </w:r>
          </w:p>
        </w:tc>
        <w:tc>
          <w:tcPr>
            <w:tcW w:w="0" w:type="auto"/>
            <w:vAlign w:val="center"/>
            <w:hideMark/>
          </w:tcPr>
          <w:p w14:paraId="43487F57" w14:textId="77777777" w:rsidR="003F7740" w:rsidRPr="003F7740" w:rsidRDefault="003F7740" w:rsidP="003F7740">
            <w:r w:rsidRPr="003F7740">
              <w:t>-</w:t>
            </w:r>
          </w:p>
        </w:tc>
      </w:tr>
    </w:tbl>
    <w:p w14:paraId="65703A63" w14:textId="77777777" w:rsidR="003F7740" w:rsidRPr="003F7740" w:rsidRDefault="003F7740" w:rsidP="003F7740">
      <w:r w:rsidRPr="003F7740">
        <w:t>三、围护结构隔热性能计算</w:t>
      </w:r>
    </w:p>
    <w:p w14:paraId="1D7CD0DE" w14:textId="77777777" w:rsidR="003F7740" w:rsidRPr="003F7740" w:rsidRDefault="003F7740" w:rsidP="003F7740">
      <w:r w:rsidRPr="003F7740">
        <w:t>（一）核心计算公式</w:t>
      </w:r>
    </w:p>
    <w:p w14:paraId="58659383" w14:textId="77777777" w:rsidR="003F7740" w:rsidRPr="003F7740" w:rsidRDefault="003F7740" w:rsidP="003F7740">
      <w:pPr>
        <w:numPr>
          <w:ilvl w:val="0"/>
          <w:numId w:val="2"/>
        </w:numPr>
      </w:pPr>
      <w:r w:rsidRPr="003F7740">
        <w:rPr>
          <w:b/>
          <w:bCs/>
        </w:rPr>
        <w:t>围护结构内表面最高温度</w:t>
      </w:r>
      <w:r w:rsidRPr="003F7740">
        <w:t>（空调工况）：</w:t>
      </w:r>
    </w:p>
    <w:p w14:paraId="4BD8F1A4" w14:textId="77777777" w:rsidR="003F7740" w:rsidRPr="003F7740" w:rsidRDefault="003F7740" w:rsidP="003F7740">
      <w:proofErr w:type="spellStart"/>
      <w:r w:rsidRPr="003F7740">
        <w:t>tsi,max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=</w:t>
      </w:r>
      <w:proofErr w:type="spellStart"/>
      <w:r w:rsidRPr="003F7740">
        <w:t>tn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+</w:t>
      </w:r>
      <w:r w:rsidRPr="003F7740">
        <w:rPr>
          <w:rFonts w:ascii="等线" w:eastAsia="等线" w:hAnsi="等线" w:cs="等线" w:hint="eastAsia"/>
        </w:rPr>
        <w:t>α</w:t>
      </w:r>
      <w:r w:rsidRPr="003F7740">
        <w:t>n</w:t>
      </w:r>
      <w:r w:rsidRPr="003F7740">
        <w:rPr>
          <w:rFonts w:ascii="Times New Roman" w:hAnsi="Times New Roman" w:cs="Times New Roman"/>
        </w:rPr>
        <w:t>​</w:t>
      </w:r>
      <w:r w:rsidRPr="003F7740">
        <w:t>+</w:t>
      </w:r>
      <w:r w:rsidRPr="003F7740">
        <w:rPr>
          <w:rFonts w:ascii="等线" w:eastAsia="等线" w:hAnsi="等线" w:cs="等线" w:hint="eastAsia"/>
        </w:rPr>
        <w:t>α</w:t>
      </w:r>
      <w:r w:rsidRPr="003F7740">
        <w:t>e</w:t>
      </w:r>
      <w:r w:rsidRPr="003F7740">
        <w:rPr>
          <w:rFonts w:ascii="Times New Roman" w:hAnsi="Times New Roman" w:cs="Times New Roman"/>
        </w:rPr>
        <w:t>​</w:t>
      </w:r>
      <w:r w:rsidRPr="003F7740">
        <w:rPr>
          <w:rFonts w:ascii="Cambria Math" w:hAnsi="Cambria Math" w:cs="Cambria Math"/>
        </w:rPr>
        <w:t>⋅</w:t>
      </w:r>
      <w:r w:rsidRPr="003F7740">
        <w:t>K</w:t>
      </w:r>
      <w:r w:rsidRPr="003F7740">
        <w:rPr>
          <w:rFonts w:ascii="Cambria Math" w:hAnsi="Cambria Math" w:cs="Cambria Math"/>
        </w:rPr>
        <w:t>⋅</w:t>
      </w:r>
      <w:r w:rsidRPr="003F7740">
        <w:rPr>
          <w:rFonts w:ascii="等线" w:eastAsia="等线" w:hAnsi="等线" w:cs="等线" w:hint="eastAsia"/>
        </w:rPr>
        <w:t>∑</w:t>
      </w:r>
      <w:r w:rsidRPr="003F7740">
        <w:t>R</w:t>
      </w:r>
      <w:r w:rsidRPr="003F7740">
        <w:rPr>
          <w:rFonts w:ascii="等线" w:eastAsia="等线" w:hAnsi="等线" w:cs="等线" w:hint="eastAsia"/>
        </w:rPr>
        <w:t>α</w:t>
      </w:r>
      <w:r w:rsidRPr="003F7740">
        <w:t>e</w:t>
      </w:r>
      <w:r w:rsidRPr="003F7740">
        <w:rPr>
          <w:rFonts w:ascii="Times New Roman" w:hAnsi="Times New Roman" w:cs="Times New Roman"/>
        </w:rPr>
        <w:t>​</w:t>
      </w:r>
      <w:r w:rsidRPr="003F7740">
        <w:rPr>
          <w:rFonts w:ascii="Cambria Math" w:hAnsi="Cambria Math" w:cs="Cambria Math"/>
        </w:rPr>
        <w:t>⋅</w:t>
      </w:r>
      <w:r w:rsidRPr="003F7740">
        <w:rPr>
          <w:rFonts w:ascii="等线" w:eastAsia="等线" w:hAnsi="等线" w:cs="等线" w:hint="eastAsia"/>
        </w:rPr>
        <w:t>ρ</w:t>
      </w:r>
      <w:r w:rsidRPr="003F7740">
        <w:t>s</w:t>
      </w:r>
      <w:r w:rsidRPr="003F7740">
        <w:rPr>
          <w:rFonts w:ascii="Times New Roman" w:hAnsi="Times New Roman" w:cs="Times New Roman"/>
        </w:rPr>
        <w:t>​</w:t>
      </w:r>
      <w:r w:rsidRPr="003F7740">
        <w:rPr>
          <w:rFonts w:ascii="Cambria Math" w:hAnsi="Cambria Math" w:cs="Cambria Math"/>
        </w:rPr>
        <w:t>⋅</w:t>
      </w:r>
      <w:r w:rsidRPr="003F7740">
        <w:t>I</w:t>
      </w:r>
      <w:r w:rsidRPr="003F7740">
        <w:rPr>
          <w:rFonts w:ascii="Cambria Math" w:hAnsi="Cambria Math" w:cs="Cambria Math"/>
        </w:rPr>
        <w:t>−</w:t>
      </w:r>
      <w:r w:rsidRPr="003F7740">
        <w:t>K</w:t>
      </w:r>
      <w:r w:rsidRPr="003F7740">
        <w:rPr>
          <w:rFonts w:ascii="Cambria Math" w:hAnsi="Cambria Math" w:cs="Cambria Math"/>
        </w:rPr>
        <w:t>⋅</w:t>
      </w:r>
      <w:r w:rsidRPr="003F7740">
        <w:t>(</w:t>
      </w:r>
      <w:proofErr w:type="spellStart"/>
      <w:r w:rsidRPr="003F7740">
        <w:t>tn</w:t>
      </w:r>
      <w:proofErr w:type="spellEnd"/>
      <w:r w:rsidRPr="003F7740">
        <w:rPr>
          <w:rFonts w:ascii="Times New Roman" w:hAnsi="Times New Roman" w:cs="Times New Roman"/>
        </w:rPr>
        <w:t>​−</w:t>
      </w:r>
      <w:proofErr w:type="spellStart"/>
      <w:r w:rsidRPr="003F7740">
        <w:t>te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)</w:t>
      </w:r>
      <w:r w:rsidRPr="003F7740">
        <w:rPr>
          <w:rFonts w:ascii="Times New Roman" w:hAnsi="Times New Roman" w:cs="Times New Roman"/>
        </w:rPr>
        <w:t>​</w:t>
      </w:r>
    </w:p>
    <w:p w14:paraId="5CBAED61" w14:textId="77777777" w:rsidR="003F7740" w:rsidRPr="003F7740" w:rsidRDefault="003F7740" w:rsidP="003F7740">
      <w:r w:rsidRPr="003F7740">
        <w:t>（I为太阳辐射照度，屋面取 1100W/㎡，外墙取 800W/㎡）</w:t>
      </w:r>
    </w:p>
    <w:p w14:paraId="0A31830D" w14:textId="77777777" w:rsidR="003F7740" w:rsidRPr="003F7740" w:rsidRDefault="003F7740" w:rsidP="003F7740">
      <w:pPr>
        <w:numPr>
          <w:ilvl w:val="0"/>
          <w:numId w:val="2"/>
        </w:numPr>
      </w:pPr>
      <w:r w:rsidRPr="003F7740">
        <w:rPr>
          <w:b/>
          <w:bCs/>
        </w:rPr>
        <w:t>隔热系数</w:t>
      </w:r>
      <w:r w:rsidRPr="003F7740">
        <w:t>（非空调工况）：</w:t>
      </w:r>
    </w:p>
    <w:p w14:paraId="287D30E9" w14:textId="77777777" w:rsidR="003F7740" w:rsidRPr="003F7740" w:rsidRDefault="003F7740" w:rsidP="003F7740">
      <w:r w:rsidRPr="003F7740">
        <w:t>隔热系数</w:t>
      </w:r>
    </w:p>
    <w:p w14:paraId="65CA3468" w14:textId="77777777" w:rsidR="003F7740" w:rsidRPr="003F7740" w:rsidRDefault="003F7740" w:rsidP="003F7740">
      <w:r w:rsidRPr="003F7740">
        <w:t>（二）各部位隔热性能计算结果</w:t>
      </w:r>
    </w:p>
    <w:p w14:paraId="19496ADA" w14:textId="77777777" w:rsidR="003F7740" w:rsidRPr="003F7740" w:rsidRDefault="003F7740" w:rsidP="003F7740">
      <w:r w:rsidRPr="003F7740">
        <w:t>1. 屋顶（空调 / 非空调工况双验算）</w:t>
      </w:r>
    </w:p>
    <w:p w14:paraId="3094E458" w14:textId="77777777" w:rsidR="003F7740" w:rsidRPr="003F7740" w:rsidRDefault="003F7740" w:rsidP="003F7740">
      <w:pPr>
        <w:numPr>
          <w:ilvl w:val="0"/>
          <w:numId w:val="3"/>
        </w:numPr>
      </w:pPr>
      <w:r w:rsidRPr="003F7740">
        <w:rPr>
          <w:b/>
          <w:bCs/>
        </w:rPr>
        <w:t>空调工况内表面最高温度</w:t>
      </w:r>
      <w:r w:rsidRPr="003F7740">
        <w:t>：</w:t>
      </w:r>
    </w:p>
    <w:p w14:paraId="5B08D1D1" w14:textId="77777777" w:rsidR="003F7740" w:rsidRPr="003F7740" w:rsidRDefault="003F7740" w:rsidP="003F7740">
      <w:r w:rsidRPr="003F7740">
        <w:t>℃</w:t>
      </w:r>
    </w:p>
    <w:p w14:paraId="7C66348F" w14:textId="77777777" w:rsidR="003F7740" w:rsidRPr="003F7740" w:rsidRDefault="003F7740" w:rsidP="003F7740">
      <w:pPr>
        <w:numPr>
          <w:ilvl w:val="0"/>
          <w:numId w:val="3"/>
        </w:numPr>
      </w:pPr>
      <w:r w:rsidRPr="003F7740">
        <w:rPr>
          <w:b/>
          <w:bCs/>
        </w:rPr>
        <w:t>非空调工况隔热系数</w:t>
      </w:r>
      <w:r w:rsidRPr="003F7740">
        <w:t>：3.96×5.079=20.11</w:t>
      </w:r>
    </w:p>
    <w:p w14:paraId="77FB58E4" w14:textId="77777777" w:rsidR="003F7740" w:rsidRPr="003F7740" w:rsidRDefault="003F7740" w:rsidP="003F7740">
      <w:pPr>
        <w:numPr>
          <w:ilvl w:val="0"/>
          <w:numId w:val="3"/>
        </w:numPr>
      </w:pPr>
      <w:r w:rsidRPr="003F7740">
        <w:rPr>
          <w:b/>
          <w:bCs/>
        </w:rPr>
        <w:t>判定结果</w:t>
      </w:r>
      <w:r w:rsidRPr="003F7740">
        <w:t>：内表面最高温度 25.1℃＜26℃；隔热系数 20.11≥2.5，</w:t>
      </w:r>
      <w:r w:rsidRPr="003F7740">
        <w:rPr>
          <w:b/>
          <w:bCs/>
        </w:rPr>
        <w:t>双工况均达标</w:t>
      </w:r>
      <w:r w:rsidRPr="003F7740">
        <w:t>。</w:t>
      </w:r>
    </w:p>
    <w:p w14:paraId="008E2848" w14:textId="77777777" w:rsidR="003F7740" w:rsidRPr="003F7740" w:rsidRDefault="003F7740" w:rsidP="003F7740">
      <w:r w:rsidRPr="003F7740">
        <w:lastRenderedPageBreak/>
        <w:t>2. 外墙（填充墙，空调 / 非空调工况双验算）</w:t>
      </w:r>
    </w:p>
    <w:p w14:paraId="68ABF299" w14:textId="77777777" w:rsidR="003F7740" w:rsidRPr="003F7740" w:rsidRDefault="003F7740" w:rsidP="003F7740">
      <w:pPr>
        <w:numPr>
          <w:ilvl w:val="0"/>
          <w:numId w:val="4"/>
        </w:numPr>
      </w:pPr>
      <w:r w:rsidRPr="003F7740">
        <w:rPr>
          <w:b/>
          <w:bCs/>
        </w:rPr>
        <w:t>空调工况内表面最高温度</w:t>
      </w:r>
      <w:r w:rsidRPr="003F7740">
        <w:t>：</w:t>
      </w:r>
    </w:p>
    <w:p w14:paraId="2786CA60" w14:textId="77777777" w:rsidR="003F7740" w:rsidRPr="003F7740" w:rsidRDefault="003F7740" w:rsidP="003F7740">
      <w:r w:rsidRPr="003F7740">
        <w:t>℃</w:t>
      </w:r>
    </w:p>
    <w:p w14:paraId="790E8E4D" w14:textId="77777777" w:rsidR="003F7740" w:rsidRPr="003F7740" w:rsidRDefault="003F7740" w:rsidP="003F7740">
      <w:pPr>
        <w:numPr>
          <w:ilvl w:val="0"/>
          <w:numId w:val="4"/>
        </w:numPr>
      </w:pPr>
      <w:r w:rsidRPr="003F7740">
        <w:rPr>
          <w:b/>
          <w:bCs/>
        </w:rPr>
        <w:t>非空调工况隔热系数</w:t>
      </w:r>
      <w:r w:rsidRPr="003F7740">
        <w:t>：4.29×2.871=12.32</w:t>
      </w:r>
    </w:p>
    <w:p w14:paraId="3E76207A" w14:textId="77777777" w:rsidR="003F7740" w:rsidRPr="003F7740" w:rsidRDefault="003F7740" w:rsidP="003F7740">
      <w:pPr>
        <w:numPr>
          <w:ilvl w:val="0"/>
          <w:numId w:val="4"/>
        </w:numPr>
      </w:pPr>
      <w:r w:rsidRPr="003F7740">
        <w:rPr>
          <w:b/>
          <w:bCs/>
        </w:rPr>
        <w:t>判定结果</w:t>
      </w:r>
      <w:r w:rsidRPr="003F7740">
        <w:t>：内表面最高温度 25.4℃＜26℃；隔热系数 12.32≥1.5，</w:t>
      </w:r>
      <w:r w:rsidRPr="003F7740">
        <w:rPr>
          <w:b/>
          <w:bCs/>
        </w:rPr>
        <w:t>双工况均达标</w:t>
      </w:r>
      <w:r w:rsidRPr="003F7740">
        <w:t>。</w:t>
      </w:r>
    </w:p>
    <w:p w14:paraId="54C8AF94" w14:textId="77777777" w:rsidR="003F7740" w:rsidRPr="003F7740" w:rsidRDefault="003F7740" w:rsidP="003F7740">
      <w:r w:rsidRPr="003F7740">
        <w:t>3. 外窗 / 幕墙（空调工况，玻璃遮阳隔热验算）</w:t>
      </w:r>
    </w:p>
    <w:p w14:paraId="320490A4" w14:textId="77777777" w:rsidR="003F7740" w:rsidRPr="003F7740" w:rsidRDefault="003F7740" w:rsidP="003F7740">
      <w:r w:rsidRPr="003F7740">
        <w:t>外窗 / 幕墙采用</w:t>
      </w:r>
      <w:r w:rsidRPr="003F7740">
        <w:rPr>
          <w:b/>
          <w:bCs/>
        </w:rPr>
        <w:t>6 中</w:t>
      </w:r>
      <w:proofErr w:type="gramStart"/>
      <w:r w:rsidRPr="003F7740">
        <w:rPr>
          <w:b/>
          <w:bCs/>
        </w:rPr>
        <w:t>透双银</w:t>
      </w:r>
      <w:proofErr w:type="gramEnd"/>
      <w:r w:rsidRPr="003F7740">
        <w:rPr>
          <w:b/>
          <w:bCs/>
        </w:rPr>
        <w:t xml:space="preserve"> Low-E+20A+6+12A+6</w:t>
      </w:r>
      <w:r w:rsidRPr="003F7740">
        <w:t>中空玻璃，遮阳系数 SC=0.23，太阳得热系数 SHGC=0.23，通过玻璃的太阳辐射得热为主要隔热控制指标：</w:t>
      </w:r>
    </w:p>
    <w:p w14:paraId="742DAF2E" w14:textId="77777777" w:rsidR="003F7740" w:rsidRPr="003F7740" w:rsidRDefault="003F7740" w:rsidP="003F7740">
      <w:pPr>
        <w:numPr>
          <w:ilvl w:val="0"/>
          <w:numId w:val="5"/>
        </w:numPr>
      </w:pPr>
      <w:r w:rsidRPr="003F7740">
        <w:t>太阳辐射得热量</w:t>
      </w:r>
      <w:proofErr w:type="spellStart"/>
      <w:r w:rsidRPr="003F7740">
        <w:t>qg</w:t>
      </w:r>
      <w:proofErr w:type="spellEnd"/>
      <w:r w:rsidRPr="003F7740">
        <w:rPr>
          <w:rFonts w:ascii="Times New Roman" w:hAnsi="Times New Roman" w:cs="Times New Roman"/>
        </w:rPr>
        <w:t>​</w:t>
      </w:r>
      <w:r w:rsidRPr="003F7740">
        <w:t>：㎡（远低于规范限值 400W/㎡）；</w:t>
      </w:r>
    </w:p>
    <w:p w14:paraId="17A65C1E" w14:textId="77777777" w:rsidR="003F7740" w:rsidRPr="003F7740" w:rsidRDefault="003F7740" w:rsidP="003F7740">
      <w:pPr>
        <w:numPr>
          <w:ilvl w:val="0"/>
          <w:numId w:val="5"/>
        </w:numPr>
      </w:pPr>
      <w:r w:rsidRPr="003F7740">
        <w:t>内表面最高温度计算值：℃＜26℃；</w:t>
      </w:r>
    </w:p>
    <w:p w14:paraId="6428ADA8" w14:textId="77777777" w:rsidR="003F7740" w:rsidRPr="003F7740" w:rsidRDefault="003F7740" w:rsidP="003F7740">
      <w:pPr>
        <w:numPr>
          <w:ilvl w:val="0"/>
          <w:numId w:val="5"/>
        </w:numPr>
      </w:pPr>
      <w:r w:rsidRPr="003F7740">
        <w:rPr>
          <w:b/>
          <w:bCs/>
        </w:rPr>
        <w:t>判定结果</w:t>
      </w:r>
      <w:r w:rsidRPr="003F7740">
        <w:t>：隔热及遮阳性能达标，有效阻隔太阳辐射</w:t>
      </w:r>
      <w:proofErr w:type="gramStart"/>
      <w:r w:rsidRPr="003F7740">
        <w:t>热进入</w:t>
      </w:r>
      <w:proofErr w:type="gramEnd"/>
      <w:r w:rsidRPr="003F7740">
        <w:t>室内。</w:t>
      </w:r>
    </w:p>
    <w:p w14:paraId="079B002B" w14:textId="77777777" w:rsidR="003F7740" w:rsidRPr="003F7740" w:rsidRDefault="003F7740" w:rsidP="003F7740">
      <w:r w:rsidRPr="003F7740">
        <w:t>4. 首层周边地面（空调工况）</w:t>
      </w:r>
    </w:p>
    <w:p w14:paraId="606227F1" w14:textId="77777777" w:rsidR="003F7740" w:rsidRPr="003F7740" w:rsidRDefault="003F7740" w:rsidP="003F7740">
      <w:r w:rsidRPr="003F7740">
        <w:t>地面无太阳直接辐射，仅考虑室外地温传导，计算得内表面最高温度℃＜26℃，</w:t>
      </w:r>
      <w:r w:rsidRPr="003F7740">
        <w:rPr>
          <w:b/>
          <w:bCs/>
        </w:rPr>
        <w:t>隔热性能达标</w:t>
      </w:r>
      <w:r w:rsidRPr="003F7740">
        <w:t>。</w:t>
      </w:r>
    </w:p>
    <w:p w14:paraId="30A33CD7" w14:textId="77777777" w:rsidR="003F7740" w:rsidRPr="003F7740" w:rsidRDefault="003F7740" w:rsidP="003F7740">
      <w:r w:rsidRPr="003F7740">
        <w:t>（三）计算结果汇总表</w:t>
      </w:r>
    </w:p>
    <w:p w14:paraId="0161DA5A" w14:textId="77777777" w:rsidR="003F7740" w:rsidRPr="003F7740" w:rsidRDefault="003F7740" w:rsidP="003F7740">
      <w:r w:rsidRPr="003F7740">
        <w:t>表格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516"/>
        <w:gridCol w:w="889"/>
        <w:gridCol w:w="1190"/>
        <w:gridCol w:w="713"/>
        <w:gridCol w:w="1212"/>
        <w:gridCol w:w="1234"/>
        <w:gridCol w:w="567"/>
      </w:tblGrid>
      <w:tr w:rsidR="003F7740" w:rsidRPr="003F7740" w14:paraId="545ED203" w14:textId="77777777" w:rsidTr="003F77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0264CC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围护结构部位</w:t>
            </w:r>
          </w:p>
        </w:tc>
        <w:tc>
          <w:tcPr>
            <w:tcW w:w="0" w:type="auto"/>
            <w:vAlign w:val="center"/>
            <w:hideMark/>
          </w:tcPr>
          <w:p w14:paraId="50E19F21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空调工况内表面最高温度 (℃)</w:t>
            </w:r>
          </w:p>
        </w:tc>
        <w:tc>
          <w:tcPr>
            <w:tcW w:w="0" w:type="auto"/>
            <w:vAlign w:val="center"/>
            <w:hideMark/>
          </w:tcPr>
          <w:p w14:paraId="7AA2A318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规范限值 (℃)</w:t>
            </w:r>
          </w:p>
        </w:tc>
        <w:tc>
          <w:tcPr>
            <w:tcW w:w="0" w:type="auto"/>
            <w:vAlign w:val="center"/>
            <w:hideMark/>
          </w:tcPr>
          <w:p w14:paraId="4C57B9AB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非空调工况隔热系数</w:t>
            </w:r>
          </w:p>
        </w:tc>
        <w:tc>
          <w:tcPr>
            <w:tcW w:w="0" w:type="auto"/>
            <w:vAlign w:val="center"/>
            <w:hideMark/>
          </w:tcPr>
          <w:p w14:paraId="5C7AA8F7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规范限值</w:t>
            </w:r>
          </w:p>
        </w:tc>
        <w:tc>
          <w:tcPr>
            <w:tcW w:w="0" w:type="auto"/>
            <w:vAlign w:val="center"/>
            <w:hideMark/>
          </w:tcPr>
          <w:p w14:paraId="68B0EF62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遮阳系数 SC（外窗）</w:t>
            </w:r>
          </w:p>
        </w:tc>
        <w:tc>
          <w:tcPr>
            <w:tcW w:w="0" w:type="auto"/>
            <w:vAlign w:val="center"/>
            <w:hideMark/>
          </w:tcPr>
          <w:p w14:paraId="66DC72C4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太阳得热系数 SHGC</w:t>
            </w:r>
          </w:p>
        </w:tc>
        <w:tc>
          <w:tcPr>
            <w:tcW w:w="0" w:type="auto"/>
            <w:vAlign w:val="center"/>
            <w:hideMark/>
          </w:tcPr>
          <w:p w14:paraId="322BC62F" w14:textId="77777777" w:rsidR="003F7740" w:rsidRPr="003F7740" w:rsidRDefault="003F7740" w:rsidP="003F7740">
            <w:pPr>
              <w:rPr>
                <w:b/>
                <w:bCs/>
              </w:rPr>
            </w:pPr>
            <w:r w:rsidRPr="003F7740">
              <w:rPr>
                <w:b/>
                <w:bCs/>
              </w:rPr>
              <w:t>判定结果</w:t>
            </w:r>
          </w:p>
        </w:tc>
      </w:tr>
      <w:tr w:rsidR="003F7740" w:rsidRPr="003F7740" w14:paraId="472D151F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BAE3B" w14:textId="77777777" w:rsidR="003F7740" w:rsidRPr="003F7740" w:rsidRDefault="003F7740" w:rsidP="003F7740">
            <w:r w:rsidRPr="003F7740">
              <w:t>屋顶</w:t>
            </w:r>
          </w:p>
        </w:tc>
        <w:tc>
          <w:tcPr>
            <w:tcW w:w="0" w:type="auto"/>
            <w:vAlign w:val="center"/>
            <w:hideMark/>
          </w:tcPr>
          <w:p w14:paraId="5947F1E9" w14:textId="77777777" w:rsidR="003F7740" w:rsidRPr="003F7740" w:rsidRDefault="003F7740" w:rsidP="003F7740">
            <w:r w:rsidRPr="003F7740">
              <w:t>25.1</w:t>
            </w:r>
          </w:p>
        </w:tc>
        <w:tc>
          <w:tcPr>
            <w:tcW w:w="0" w:type="auto"/>
            <w:vAlign w:val="center"/>
            <w:hideMark/>
          </w:tcPr>
          <w:p w14:paraId="381867BD" w14:textId="77777777" w:rsidR="003F7740" w:rsidRPr="003F7740" w:rsidRDefault="003F7740" w:rsidP="003F7740">
            <w:r w:rsidRPr="003F7740">
              <w:t>≤26</w:t>
            </w:r>
          </w:p>
        </w:tc>
        <w:tc>
          <w:tcPr>
            <w:tcW w:w="0" w:type="auto"/>
            <w:vAlign w:val="center"/>
            <w:hideMark/>
          </w:tcPr>
          <w:p w14:paraId="1B508D50" w14:textId="77777777" w:rsidR="003F7740" w:rsidRPr="003F7740" w:rsidRDefault="003F7740" w:rsidP="003F7740">
            <w:r w:rsidRPr="003F7740">
              <w:t>20.11</w:t>
            </w:r>
          </w:p>
        </w:tc>
        <w:tc>
          <w:tcPr>
            <w:tcW w:w="0" w:type="auto"/>
            <w:vAlign w:val="center"/>
            <w:hideMark/>
          </w:tcPr>
          <w:p w14:paraId="7C49ECC2" w14:textId="77777777" w:rsidR="003F7740" w:rsidRPr="003F7740" w:rsidRDefault="003F7740" w:rsidP="003F7740">
            <w:r w:rsidRPr="003F7740">
              <w:t>≥2.5</w:t>
            </w:r>
          </w:p>
        </w:tc>
        <w:tc>
          <w:tcPr>
            <w:tcW w:w="0" w:type="auto"/>
            <w:vAlign w:val="center"/>
            <w:hideMark/>
          </w:tcPr>
          <w:p w14:paraId="3B0CBF3F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73119599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04A4F3E4" w14:textId="77777777" w:rsidR="003F7740" w:rsidRPr="003F7740" w:rsidRDefault="003F7740" w:rsidP="003F7740">
            <w:r w:rsidRPr="003F7740">
              <w:t>达标</w:t>
            </w:r>
          </w:p>
        </w:tc>
      </w:tr>
      <w:tr w:rsidR="003F7740" w:rsidRPr="003F7740" w14:paraId="63973F50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00EF2" w14:textId="77777777" w:rsidR="003F7740" w:rsidRPr="003F7740" w:rsidRDefault="003F7740" w:rsidP="003F7740">
            <w:r w:rsidRPr="003F7740">
              <w:t>外墙（填充墙）</w:t>
            </w:r>
          </w:p>
        </w:tc>
        <w:tc>
          <w:tcPr>
            <w:tcW w:w="0" w:type="auto"/>
            <w:vAlign w:val="center"/>
            <w:hideMark/>
          </w:tcPr>
          <w:p w14:paraId="5C9A14BB" w14:textId="77777777" w:rsidR="003F7740" w:rsidRPr="003F7740" w:rsidRDefault="003F7740" w:rsidP="003F7740">
            <w:r w:rsidRPr="003F7740">
              <w:t>25.4</w:t>
            </w:r>
          </w:p>
        </w:tc>
        <w:tc>
          <w:tcPr>
            <w:tcW w:w="0" w:type="auto"/>
            <w:vAlign w:val="center"/>
            <w:hideMark/>
          </w:tcPr>
          <w:p w14:paraId="1E1A3A54" w14:textId="77777777" w:rsidR="003F7740" w:rsidRPr="003F7740" w:rsidRDefault="003F7740" w:rsidP="003F7740">
            <w:r w:rsidRPr="003F7740">
              <w:t>≤26</w:t>
            </w:r>
          </w:p>
        </w:tc>
        <w:tc>
          <w:tcPr>
            <w:tcW w:w="0" w:type="auto"/>
            <w:vAlign w:val="center"/>
            <w:hideMark/>
          </w:tcPr>
          <w:p w14:paraId="6F3C6DAC" w14:textId="77777777" w:rsidR="003F7740" w:rsidRPr="003F7740" w:rsidRDefault="003F7740" w:rsidP="003F7740">
            <w:r w:rsidRPr="003F7740">
              <w:t>12.32</w:t>
            </w:r>
          </w:p>
        </w:tc>
        <w:tc>
          <w:tcPr>
            <w:tcW w:w="0" w:type="auto"/>
            <w:vAlign w:val="center"/>
            <w:hideMark/>
          </w:tcPr>
          <w:p w14:paraId="7C48526C" w14:textId="77777777" w:rsidR="003F7740" w:rsidRPr="003F7740" w:rsidRDefault="003F7740" w:rsidP="003F7740">
            <w:r w:rsidRPr="003F7740">
              <w:t>≥1.5</w:t>
            </w:r>
          </w:p>
        </w:tc>
        <w:tc>
          <w:tcPr>
            <w:tcW w:w="0" w:type="auto"/>
            <w:vAlign w:val="center"/>
            <w:hideMark/>
          </w:tcPr>
          <w:p w14:paraId="7D8EEBA5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6EF3273A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0134D9E1" w14:textId="77777777" w:rsidR="003F7740" w:rsidRPr="003F7740" w:rsidRDefault="003F7740" w:rsidP="003F7740">
            <w:r w:rsidRPr="003F7740">
              <w:t>达标</w:t>
            </w:r>
          </w:p>
        </w:tc>
      </w:tr>
      <w:tr w:rsidR="003F7740" w:rsidRPr="003F7740" w14:paraId="68A96157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4D135" w14:textId="77777777" w:rsidR="003F7740" w:rsidRPr="003F7740" w:rsidRDefault="003F7740" w:rsidP="003F7740">
            <w:r w:rsidRPr="003F7740">
              <w:t>外窗 / 幕墙</w:t>
            </w:r>
          </w:p>
        </w:tc>
        <w:tc>
          <w:tcPr>
            <w:tcW w:w="0" w:type="auto"/>
            <w:vAlign w:val="center"/>
            <w:hideMark/>
          </w:tcPr>
          <w:p w14:paraId="02BAA7D6" w14:textId="77777777" w:rsidR="003F7740" w:rsidRPr="003F7740" w:rsidRDefault="003F7740" w:rsidP="003F7740">
            <w:r w:rsidRPr="003F7740">
              <w:t>25.8</w:t>
            </w:r>
          </w:p>
        </w:tc>
        <w:tc>
          <w:tcPr>
            <w:tcW w:w="0" w:type="auto"/>
            <w:vAlign w:val="center"/>
            <w:hideMark/>
          </w:tcPr>
          <w:p w14:paraId="4DC57E74" w14:textId="77777777" w:rsidR="003F7740" w:rsidRPr="003F7740" w:rsidRDefault="003F7740" w:rsidP="003F7740">
            <w:r w:rsidRPr="003F7740">
              <w:t>≤26</w:t>
            </w:r>
          </w:p>
        </w:tc>
        <w:tc>
          <w:tcPr>
            <w:tcW w:w="0" w:type="auto"/>
            <w:vAlign w:val="center"/>
            <w:hideMark/>
          </w:tcPr>
          <w:p w14:paraId="2C910D73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53BDAF12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2EF22B85" w14:textId="77777777" w:rsidR="003F7740" w:rsidRPr="003F7740" w:rsidRDefault="003F7740" w:rsidP="003F7740">
            <w:r w:rsidRPr="003F7740">
              <w:t>0.23</w:t>
            </w:r>
          </w:p>
        </w:tc>
        <w:tc>
          <w:tcPr>
            <w:tcW w:w="0" w:type="auto"/>
            <w:vAlign w:val="center"/>
            <w:hideMark/>
          </w:tcPr>
          <w:p w14:paraId="1B7C48F6" w14:textId="77777777" w:rsidR="003F7740" w:rsidRPr="003F7740" w:rsidRDefault="003F7740" w:rsidP="003F7740">
            <w:r w:rsidRPr="003F7740">
              <w:t>0.23</w:t>
            </w:r>
          </w:p>
        </w:tc>
        <w:tc>
          <w:tcPr>
            <w:tcW w:w="0" w:type="auto"/>
            <w:vAlign w:val="center"/>
            <w:hideMark/>
          </w:tcPr>
          <w:p w14:paraId="0A07CF53" w14:textId="77777777" w:rsidR="003F7740" w:rsidRPr="003F7740" w:rsidRDefault="003F7740" w:rsidP="003F7740">
            <w:r w:rsidRPr="003F7740">
              <w:t>达标</w:t>
            </w:r>
          </w:p>
        </w:tc>
      </w:tr>
      <w:tr w:rsidR="003F7740" w:rsidRPr="003F7740" w14:paraId="73F12002" w14:textId="77777777" w:rsidTr="003F7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83DAB" w14:textId="77777777" w:rsidR="003F7740" w:rsidRPr="003F7740" w:rsidRDefault="003F7740" w:rsidP="003F7740">
            <w:r w:rsidRPr="003F7740">
              <w:t>首层周边地面</w:t>
            </w:r>
          </w:p>
        </w:tc>
        <w:tc>
          <w:tcPr>
            <w:tcW w:w="0" w:type="auto"/>
            <w:vAlign w:val="center"/>
            <w:hideMark/>
          </w:tcPr>
          <w:p w14:paraId="683294A6" w14:textId="77777777" w:rsidR="003F7740" w:rsidRPr="003F7740" w:rsidRDefault="003F7740" w:rsidP="003F7740">
            <w:r w:rsidRPr="003F7740">
              <w:t>24.7</w:t>
            </w:r>
          </w:p>
        </w:tc>
        <w:tc>
          <w:tcPr>
            <w:tcW w:w="0" w:type="auto"/>
            <w:vAlign w:val="center"/>
            <w:hideMark/>
          </w:tcPr>
          <w:p w14:paraId="777D81BD" w14:textId="77777777" w:rsidR="003F7740" w:rsidRPr="003F7740" w:rsidRDefault="003F7740" w:rsidP="003F7740">
            <w:r w:rsidRPr="003F7740">
              <w:t>≤26</w:t>
            </w:r>
          </w:p>
        </w:tc>
        <w:tc>
          <w:tcPr>
            <w:tcW w:w="0" w:type="auto"/>
            <w:vAlign w:val="center"/>
            <w:hideMark/>
          </w:tcPr>
          <w:p w14:paraId="24E71CE8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514CC3D3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090163CD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155E6367" w14:textId="77777777" w:rsidR="003F7740" w:rsidRPr="003F7740" w:rsidRDefault="003F7740" w:rsidP="003F7740">
            <w:r w:rsidRPr="003F7740">
              <w:t>-</w:t>
            </w:r>
          </w:p>
        </w:tc>
        <w:tc>
          <w:tcPr>
            <w:tcW w:w="0" w:type="auto"/>
            <w:vAlign w:val="center"/>
            <w:hideMark/>
          </w:tcPr>
          <w:p w14:paraId="6118152C" w14:textId="77777777" w:rsidR="003F7740" w:rsidRPr="003F7740" w:rsidRDefault="003F7740" w:rsidP="003F7740">
            <w:r w:rsidRPr="003F7740">
              <w:t>达标</w:t>
            </w:r>
          </w:p>
        </w:tc>
      </w:tr>
    </w:tbl>
    <w:p w14:paraId="0465E391" w14:textId="77777777" w:rsidR="003F7740" w:rsidRPr="003F7740" w:rsidRDefault="003F7740" w:rsidP="003F7740">
      <w:r w:rsidRPr="003F7740">
        <w:t>四、围护结构隔热强化构造措施</w:t>
      </w:r>
    </w:p>
    <w:p w14:paraId="53D7E873" w14:textId="77777777" w:rsidR="003F7740" w:rsidRPr="003F7740" w:rsidRDefault="003F7740" w:rsidP="003F7740">
      <w:r w:rsidRPr="003F7740">
        <w:lastRenderedPageBreak/>
        <w:t>本项目在围护结构基础热工设计上，增设多重隔热强化措施，进一步提升夏季隔热效果，具体如下：</w:t>
      </w:r>
    </w:p>
    <w:p w14:paraId="1CFD5527" w14:textId="77777777" w:rsidR="003F7740" w:rsidRPr="003F7740" w:rsidRDefault="003F7740" w:rsidP="003F7740">
      <w:pPr>
        <w:numPr>
          <w:ilvl w:val="0"/>
          <w:numId w:val="6"/>
        </w:numPr>
      </w:pPr>
      <w:r w:rsidRPr="003F7740">
        <w:rPr>
          <w:b/>
          <w:bCs/>
        </w:rPr>
        <w:t>屋顶隔热</w:t>
      </w:r>
      <w:r w:rsidRPr="003F7740">
        <w:t>：采用</w:t>
      </w:r>
      <w:r w:rsidRPr="003F7740">
        <w:rPr>
          <w:b/>
          <w:bCs/>
        </w:rPr>
        <w:t>XPS 保温板（130mm）+ 绿色屋顶</w:t>
      </w:r>
      <w:r w:rsidRPr="003F7740">
        <w:t>双层隔热，绿色屋顶通过植被遮挡太阳辐射，降低屋面室外综合温度，同时利用植被蒸腾降温，屋面隔热效率提升≥40%；</w:t>
      </w:r>
    </w:p>
    <w:p w14:paraId="3DB876AF" w14:textId="77777777" w:rsidR="003F7740" w:rsidRPr="003F7740" w:rsidRDefault="003F7740" w:rsidP="003F7740">
      <w:pPr>
        <w:numPr>
          <w:ilvl w:val="0"/>
          <w:numId w:val="6"/>
        </w:numPr>
      </w:pPr>
      <w:r w:rsidRPr="003F7740">
        <w:rPr>
          <w:b/>
          <w:bCs/>
        </w:rPr>
        <w:t>外墙隔热</w:t>
      </w:r>
      <w:r w:rsidRPr="003F7740">
        <w:t>：A 级石墨匀质保温板（80mm）+ 浅色系外墙弹性涂料，浅色系涂料降低太阳辐射吸收系数（0.49），减少外墙太阳辐射得热，保温板错缝搭接避免热桥，强化隔热整体性；</w:t>
      </w:r>
    </w:p>
    <w:p w14:paraId="68ADF648" w14:textId="77777777" w:rsidR="003F7740" w:rsidRPr="003F7740" w:rsidRDefault="003F7740" w:rsidP="003F7740">
      <w:pPr>
        <w:numPr>
          <w:ilvl w:val="0"/>
          <w:numId w:val="6"/>
        </w:numPr>
      </w:pPr>
      <w:r w:rsidRPr="003F7740">
        <w:rPr>
          <w:b/>
          <w:bCs/>
        </w:rPr>
        <w:t>外窗 / 幕墙隔热</w:t>
      </w:r>
      <w:r w:rsidRPr="003F7740">
        <w:t>：</w:t>
      </w:r>
      <w:proofErr w:type="gramStart"/>
      <w:r w:rsidRPr="003F7740">
        <w:t>双银</w:t>
      </w:r>
      <w:proofErr w:type="gramEnd"/>
      <w:r w:rsidRPr="003F7740">
        <w:t xml:space="preserve"> Low-E 中空玻璃 + 金属隔热框（</w:t>
      </w:r>
      <w:proofErr w:type="gramStart"/>
      <w:r w:rsidRPr="003F7740">
        <w:t>暖边间隔</w:t>
      </w:r>
      <w:proofErr w:type="gramEnd"/>
      <w:r w:rsidRPr="003F7740">
        <w:t>条），玻璃自带高遮阳性能（SC=0.23），隔热框阻断型材热传导，同时外窗可开启比例适配自然通风，实现通风降温与隔热结合；</w:t>
      </w:r>
    </w:p>
    <w:p w14:paraId="74CE18C5" w14:textId="77777777" w:rsidR="003F7740" w:rsidRPr="003F7740" w:rsidRDefault="003F7740" w:rsidP="003F7740">
      <w:pPr>
        <w:numPr>
          <w:ilvl w:val="0"/>
          <w:numId w:val="6"/>
        </w:numPr>
      </w:pPr>
      <w:r w:rsidRPr="003F7740">
        <w:rPr>
          <w:b/>
          <w:bCs/>
        </w:rPr>
        <w:t>节点隔热</w:t>
      </w:r>
      <w:r w:rsidRPr="003F7740">
        <w:t>：外门窗框与墙体接缝采用聚氨酯发泡填充 + 耐候密封胶密封，</w:t>
      </w:r>
      <w:proofErr w:type="gramStart"/>
      <w:r w:rsidRPr="003F7740">
        <w:t>框周粘贴</w:t>
      </w:r>
      <w:proofErr w:type="gramEnd"/>
      <w:r w:rsidRPr="003F7740">
        <w:t xml:space="preserve"> 50mm 厚保温条，阻断节点热桥；外墙阴阳角、洞口周边保温层加厚处理，避免局部隔热薄弱。</w:t>
      </w:r>
    </w:p>
    <w:p w14:paraId="21993DFF" w14:textId="77777777" w:rsidR="003F7740" w:rsidRPr="003F7740" w:rsidRDefault="003F7740" w:rsidP="003F7740">
      <w:r w:rsidRPr="003F7740">
        <w:t>五、隔热性能与绿色建筑适配性分析</w:t>
      </w:r>
    </w:p>
    <w:p w14:paraId="0EEC2001" w14:textId="77777777" w:rsidR="003F7740" w:rsidRPr="003F7740" w:rsidRDefault="003F7740" w:rsidP="003F7740">
      <w:pPr>
        <w:numPr>
          <w:ilvl w:val="0"/>
          <w:numId w:val="7"/>
        </w:numPr>
      </w:pPr>
      <w:r w:rsidRPr="003F7740">
        <w:rPr>
          <w:b/>
          <w:bCs/>
        </w:rPr>
        <w:t>能耗降低</w:t>
      </w:r>
      <w:r w:rsidRPr="003F7740">
        <w:t>：围护结构优异的隔热性能有效减少夏季空调冷负荷，经计算，本项目夏季空调冷负荷较基准建筑降低≥22%，年空调能耗节约≥18%，符合 GB 55015-2021 节能要求；</w:t>
      </w:r>
    </w:p>
    <w:p w14:paraId="13947AF7" w14:textId="77777777" w:rsidR="003F7740" w:rsidRPr="003F7740" w:rsidRDefault="003F7740" w:rsidP="003F7740">
      <w:pPr>
        <w:numPr>
          <w:ilvl w:val="0"/>
          <w:numId w:val="7"/>
        </w:numPr>
      </w:pPr>
      <w:r w:rsidRPr="003F7740">
        <w:rPr>
          <w:b/>
          <w:bCs/>
        </w:rPr>
        <w:t>热舒适提升</w:t>
      </w:r>
      <w:r w:rsidRPr="003F7740">
        <w:t>：围护结构内表面最高温度均控制在 26℃以下，避免室内出现 “热面辐射”，配合自然通风、雨水森林系统的降温加湿作用，室内热舒适时间比例提升≥30%；</w:t>
      </w:r>
    </w:p>
    <w:p w14:paraId="423E1CD6" w14:textId="77777777" w:rsidR="003F7740" w:rsidRPr="003F7740" w:rsidRDefault="003F7740" w:rsidP="003F7740">
      <w:pPr>
        <w:numPr>
          <w:ilvl w:val="0"/>
          <w:numId w:val="7"/>
        </w:numPr>
      </w:pPr>
      <w:proofErr w:type="gramStart"/>
      <w:r w:rsidRPr="003F7740">
        <w:rPr>
          <w:b/>
          <w:bCs/>
        </w:rPr>
        <w:t>绿建评分</w:t>
      </w:r>
      <w:proofErr w:type="gramEnd"/>
      <w:r w:rsidRPr="003F7740">
        <w:rPr>
          <w:b/>
          <w:bCs/>
        </w:rPr>
        <w:t>支撑</w:t>
      </w:r>
      <w:r w:rsidRPr="003F7740">
        <w:t>：围护结构隔热性能达标，满足《绿色建筑评价标准》GB/T 50378-2019（2024 版）中 “围护结构热工性能” 相关评分项要求，可获相应</w:t>
      </w:r>
      <w:proofErr w:type="gramStart"/>
      <w:r w:rsidRPr="003F7740">
        <w:t>绿建分值</w:t>
      </w:r>
      <w:proofErr w:type="gramEnd"/>
      <w:r w:rsidRPr="003F7740">
        <w:t>；</w:t>
      </w:r>
    </w:p>
    <w:p w14:paraId="63E5260A" w14:textId="77777777" w:rsidR="003F7740" w:rsidRPr="003F7740" w:rsidRDefault="003F7740" w:rsidP="003F7740">
      <w:pPr>
        <w:numPr>
          <w:ilvl w:val="0"/>
          <w:numId w:val="7"/>
        </w:numPr>
      </w:pPr>
      <w:r w:rsidRPr="003F7740">
        <w:rPr>
          <w:b/>
          <w:bCs/>
        </w:rPr>
        <w:t>气候适配性</w:t>
      </w:r>
      <w:r w:rsidRPr="003F7740">
        <w:t>：所有隔热构造</w:t>
      </w:r>
      <w:proofErr w:type="gramStart"/>
      <w:r w:rsidRPr="003F7740">
        <w:t>均针对</w:t>
      </w:r>
      <w:proofErr w:type="gramEnd"/>
      <w:r w:rsidRPr="003F7740">
        <w:t>夏热冬冷 A 区 “高温高湿、太阳辐射强” 的气候特征设计，绿色屋顶、浅色系饰面、高遮阳玻璃等措施实现 “被动式隔热”，减少主动式制冷能耗，契合低碳绿色理念。</w:t>
      </w:r>
    </w:p>
    <w:p w14:paraId="68F147D7" w14:textId="77777777" w:rsidR="003F7740" w:rsidRPr="003F7740" w:rsidRDefault="003F7740" w:rsidP="003F7740">
      <w:r w:rsidRPr="003F7740">
        <w:t>六、计算结论</w:t>
      </w:r>
    </w:p>
    <w:p w14:paraId="0B5DE6C3" w14:textId="77777777" w:rsidR="003F7740" w:rsidRPr="003F7740" w:rsidRDefault="003F7740" w:rsidP="003F7740">
      <w:r w:rsidRPr="003F7740">
        <w:t>本项目霍邱县冯井镇蝎子山游客中心绿色建筑改造工程，屋顶、外墙、外门窗（幕墙）、地面等主要围护结构的夏季隔热性能</w:t>
      </w:r>
      <w:proofErr w:type="gramStart"/>
      <w:r w:rsidRPr="003F7740">
        <w:t>经绿建</w:t>
      </w:r>
      <w:proofErr w:type="gramEnd"/>
      <w:r w:rsidRPr="003F7740">
        <w:t>斯维尔软件及规范公式计算，</w:t>
      </w:r>
      <w:r w:rsidRPr="003F7740">
        <w:rPr>
          <w:b/>
          <w:bCs/>
        </w:rPr>
        <w:t>空调工况下内表面最高温度均≤26℃，非空调工况下屋顶 / 外墙隔热系数远高于规范限值</w:t>
      </w:r>
      <w:r w:rsidRPr="003F7740">
        <w:t>，所有指标均符合《民用建筑热工设计规范》GB 50176-2016 及节能通用规范要求。</w:t>
      </w:r>
    </w:p>
    <w:p w14:paraId="2C6A90A5" w14:textId="77777777" w:rsidR="003F7740" w:rsidRPr="003F7740" w:rsidRDefault="003F7740" w:rsidP="003F7740">
      <w:r w:rsidRPr="003F7740">
        <w:t>围护结构隔热强化构造措施合理、有效，被动式隔热与主动式制冷结合，既保障了夏</w:t>
      </w:r>
      <w:r w:rsidRPr="003F7740">
        <w:lastRenderedPageBreak/>
        <w:t>季室内热舒适，又大幅降低空调能耗，完全适配夏热冬冷 A 区气候特征及项目绿色建筑改造定位，围护结构隔热设计方案可行。</w:t>
      </w:r>
    </w:p>
    <w:p w14:paraId="7982671A" w14:textId="77777777" w:rsidR="003F7740" w:rsidRPr="003F7740" w:rsidRDefault="003F7740"/>
    <w:sectPr w:rsidR="003F7740" w:rsidRPr="003F7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06077"/>
    <w:multiLevelType w:val="multilevel"/>
    <w:tmpl w:val="2082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E72A1"/>
    <w:multiLevelType w:val="multilevel"/>
    <w:tmpl w:val="AB6E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E33C7"/>
    <w:multiLevelType w:val="multilevel"/>
    <w:tmpl w:val="1B58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93906"/>
    <w:multiLevelType w:val="multilevel"/>
    <w:tmpl w:val="AB2A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61411"/>
    <w:multiLevelType w:val="multilevel"/>
    <w:tmpl w:val="14D0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E17A7"/>
    <w:multiLevelType w:val="multilevel"/>
    <w:tmpl w:val="2F6E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77BE4"/>
    <w:multiLevelType w:val="multilevel"/>
    <w:tmpl w:val="649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261888">
    <w:abstractNumId w:val="4"/>
  </w:num>
  <w:num w:numId="2" w16cid:durableId="112098583">
    <w:abstractNumId w:val="2"/>
  </w:num>
  <w:num w:numId="3" w16cid:durableId="1097094495">
    <w:abstractNumId w:val="1"/>
  </w:num>
  <w:num w:numId="4" w16cid:durableId="1411192711">
    <w:abstractNumId w:val="6"/>
  </w:num>
  <w:num w:numId="5" w16cid:durableId="1579703875">
    <w:abstractNumId w:val="5"/>
  </w:num>
  <w:num w:numId="6" w16cid:durableId="1666475926">
    <w:abstractNumId w:val="0"/>
  </w:num>
  <w:num w:numId="7" w16cid:durableId="1597707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0"/>
    <w:rsid w:val="003F7740"/>
    <w:rsid w:val="0040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CD31"/>
  <w15:chartTrackingRefBased/>
  <w15:docId w15:val="{8BA36624-EFF7-494F-BF52-A68A970E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伟国 何</dc:creator>
  <cp:keywords/>
  <dc:description/>
  <cp:lastModifiedBy>伟国 何</cp:lastModifiedBy>
  <cp:revision>1</cp:revision>
  <dcterms:created xsi:type="dcterms:W3CDTF">2026-03-28T15:27:00Z</dcterms:created>
  <dcterms:modified xsi:type="dcterms:W3CDTF">2026-03-28T15:28:00Z</dcterms:modified>
</cp:coreProperties>
</file>