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游客中心垃圾管理制度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第一章 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第一条 制定目的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规范游客中心垃圾收集、分类、清运、处理全流程管理，营造整洁、卫生、文明、有序的游览服务环境，保障游客身体健康，维护游客中心良好形象，节约资源、践行环保理念，结合游客中心运营实际，制定本制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第二条 适用范围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本制度适用于游客中心所有区域，包括接待大厅、休息区、卫生间、餐饮区、办公区、室外广场、停车场及周边附属区域，涵盖所有在游客中心活动的游客、工作人员、商户及外来访客产生的各类垃圾。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第三条 核心原则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坚持“分类投放、分类收集、分类清运、规范处理”的核心原则，做到垃圾日产日清、无堆积、无异味、无遗留；兼顾便民性与环保性，引导游客主动参与垃圾分类，明确岗位职责，落实管理责任，实现垃圾减量化、资源化、无害化管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第二章 管理职责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第一条 管理部门职责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游客中心管理部门是垃圾管理的责任主体，主要职责包括：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负责本制度的制定、修订、宣传及落实监督，组织开展垃圾管理相关培训，提升工作人员环保意识和操作规范。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统筹规划垃圾收集点、分类垃圾桶的布局与设置，确保数量充足、位置合理、标识清晰，定期检查维护，及时更换损坏设施。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对接具备资质的垃圾清运单位，明确清运时间、频次及标准，监督清运过程，确保垃圾及时、规范转运，杜绝随意倾倒、堆放。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负责对游客中心内垃圾产生、分类、收集、清运全流程进行巡查，及时发现并整改垃圾堆积、分类不规范、异味扰民等问题。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引导游客、商户规范投放垃圾，对不规范行为进行温和劝阻、耐心引导，营造共同参与的环保氛围。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第二条 工作人员职责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游客中心全体工作人员（含接待、保洁、安保、办公人员等）共同承担垃圾管理责任，具体职责包括：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保洁人员：负责责任区域内垃圾的日常清扫、分类收集，及时清理垃圾桶内垃圾，保持垃圾桶及周边环境整洁，定期对垃圾桶进行清洗、消毒，杜绝异味滋生；发现垃圾堆积、分类混乱等问题，及时处理并上报。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接待及其他工作人员：主动引导游客规范投放垃圾，向游客宣传垃圾分类知识；工作期间产生的垃圾，自觉分类投放至对应垃圾桶，不随意丢弃；发现游客不规范投放行为，及时温和劝阻。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安保人员：在日常巡逻中，协助排查垃圾堆积、随意倾倒等问题，及时通知保洁人员处理；禁止外来人员在游客中心区域随意倾倒垃圾。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办公人员：自觉做好办公区域垃圾分类，及时清理办公垃圾，保持办公环境整洁，不随意丢弃废旧纸张、办公用品等。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第三条 商户及访客职责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游客中心内商户、外来访客需严格遵守本制度，自觉将产生的垃圾分类投放至指定垃圾桶，不得随意丢弃、堆放垃圾；商户需自行做好经营区域内垃圾收集、分类，配合管理部门及保洁人员做好垃圾清运工作，杜绝乱堆乱放、异味扰民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" w:id="8"/>
      <w:r>
        <w:rPr>
          <w:rFonts w:eastAsia="等线" w:ascii="Arial" w:cs="Arial" w:hAnsi="Arial"/>
          <w:b w:val="true"/>
          <w:sz w:val="36"/>
        </w:rPr>
        <w:t>第三章 垃圾分类与投放规范</w:t>
      </w:r>
      <w:bookmarkEnd w:id="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第一条 垃圾分类标准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结合游客中心实际，垃圾分为以下四类，实行分类投放、分类收集：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可回收物：指适宜回收利用和资源化利用的生活废弃物，包括废纸、废塑料、废玻璃、废金属、废织物等（如游客丢弃的矿泉水瓶、易拉罐、废旧报纸、塑料袋等）。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厨余垃圾：指游客中心餐饮区产生的易腐烂垃圾，包括剩菜剩饭、果皮、果核、菜叶、蛋壳等，需单独收集、密封存放，防止异味扩散。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有害垃圾：指含有对人体健康或者环境造成危害的废弃物，包括废电池（含纽扣电池）、废灯管、废药品、废油漆桶等，需单独投放至专用有害垃圾收集容器，严禁随意丢弃。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其他垃圾：指除可回收物、厨余垃圾、有害垃圾以外的其他生活废弃物，包括烟头、一次性餐具、污染的纸巾、废弃口罩等。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第二条 投放规范</w:t>
      </w:r>
      <w:bookmarkEnd w:id="10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游客中心在接待大厅、休息区、卫生间、餐饮区、室外广场等关键区域，合理设置分类垃圾桶，每个垃圾桶需张贴清晰的分类标识、投放说明，确保游客、工作人员能准确识别。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所有人员需按照分类标准，将垃圾准确投放至对应垃圾桶，不得混投、乱投；严禁将垃圾丢弃在垃圾桶外、地面、绿化带、墙角等区域。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厨余垃圾需沥干水分后投放，避免渗漏污染其他垃圾；有害垃圾需单独包装后投放，不得与其他垃圾混放；废弃口罩需投放至专用废弃口罩收集容器，由专人统一处理。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大件垃圾（如废弃家具、大型包装等）不得随意堆放，需由产生者告知管理部门，由管理部门联系专业人员统一清运、处理。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" w:id="11"/>
      <w:r>
        <w:rPr>
          <w:rFonts w:eastAsia="等线" w:ascii="Arial" w:cs="Arial" w:hAnsi="Arial"/>
          <w:b w:val="true"/>
          <w:sz w:val="36"/>
        </w:rPr>
        <w:t>第四章 垃圾收集与清运管理</w:t>
      </w:r>
      <w:bookmarkEnd w:id="1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第一条 收集管理</w:t>
      </w:r>
      <w:bookmarkEnd w:id="12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保洁人员需按照岗位职责，定时对责任区域内的分类垃圾桶进行检查、清理，确保垃圾桶内垃圾不超过容量的80%，避免垃圾溢出。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可回收物收集后，需集中存放至指定可回收物收集点，由管理部门联系合规回收单位进行回收利用，做好回收记录。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厨余垃圾需使用密封容器收集，每日定时清理，清理后对容器进行彻底清洗、消毒，防止异味滋生和蚊虫滋生；厨余垃圾需交由具备资质的单位进行无害化处理，严禁随意倾倒。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有害垃圾需单独存放在专用密封容器内，做好标识，由管理部门定期联系具备资质的有害垃圾处理单位进行转运、处理，做好登记记录，确保全程可追溯。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垃圾桶及垃圾收集点需定期进行清洗、消毒，每周至少消毒1次，夏季高温季节增加消毒频次，杜绝异味、蚊虫、病菌滋生。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第二条 清运管理</w:t>
      </w:r>
      <w:bookmarkEnd w:id="13"/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管理部门需与具备垃圾清运资质的单位签订清运协议，明确清运时间、频次、路线及垃圾处理标准，确保清运单位合规运营。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垃圾清运实行“日产日清”原则，工作日每日清运不少于2次，节假日、旅游高峰期根据垃圾产生量增加清运频次，确保垃圾不堆积、无遗留。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清运车辆需保持整洁，密闭运输，不得沿途撒漏垃圾、泄漏污水，避免造成二次污染；清运结束后，需对垃圾收集点进行清理、擦拭，保持环境整洁。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管理部门需安排专人监督垃圾清运过程，核对清运数量、种类，做好清运记录，发现清运不规范、垃圾随意倾倒等问题，及时与清运单位沟通整改，情节严重的，按协议约定追究责任。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第五章 设施设备管理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第一条 设施配置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部门需根据游客中心区域面积、游客流量、垃圾产生量，合理配置分类垃圾桶、垃圾收集箱、密封容器等设施，确保设施数量充足、布局合理，满足垃圾分类、收集需求；设施标识需清晰、规范，不易脱落、模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第二条 设施维护</w:t>
      </w:r>
      <w:bookmarkEnd w:id="16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保洁人员每日检查责任区域内的垃圾桶、收集箱等设施，发现损坏、破损、漏液、标识模糊等问题，及时上报管理部门。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管理部门需定期对垃圾管理设施进行维护、维修，对损坏严重、无法维修的设施及时更换，确保设施正常使用；定期对设施进行清洗、消毒，保持设施整洁。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垃圾收集点、清运通道需保持畅通，不得堆放杂物、堵塞通道，确保垃圾收集、清运工作顺利开展。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7" w:id="17"/>
      <w:r>
        <w:rPr>
          <w:rFonts w:eastAsia="等线" w:ascii="Arial" w:cs="Arial" w:hAnsi="Arial"/>
          <w:b w:val="true"/>
          <w:sz w:val="36"/>
        </w:rPr>
        <w:t>第六章 监督检查与考核</w:t>
      </w:r>
      <w:bookmarkEnd w:id="1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第一条 监督检查</w:t>
      </w:r>
      <w:bookmarkEnd w:id="18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管理部门成立垃圾管理监督小组，每日对游客中心各区域垃圾分类、收集、清运及设施维护情况进行巡查，建立巡查记录，对发现的问题及时下达整改通知，明确整改责任人及整改期限，跟踪整改落实情况。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接受游客、商户及社会各界的监督，设立投诉举报电话、意见箱，对反映的垃圾管理相关问题，及时核实、处理，并反馈给举报人。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第二条 考核奖惩</w:t>
      </w:r>
      <w:bookmarkEnd w:id="19"/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垃圾管理工作纳入工作人员日常考核，对严格遵守本制度、认真履行岗位职责、表现突出的工作人员，给予表彰、奖励；对未履行岗位职责、垃圾清理不及时、分类不规范，或多次整改不到位的工作人员，给予批评教育、绩效扣分，情节严重的，按相关规定处理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对商户不遵守本制度、随意倾倒、堆放垃圾，经劝阻仍不整改的，管理部门有权责令其整改，情节严重的，按相关规定予以处罚，直至终止合作。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对游客、外来访客随意丢弃、乱投垃圾，经工作人员劝阻仍不改正的，予以口头警告，情节严重、影响恶劣的，上报相关部门处理。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0" w:id="20"/>
      <w:r>
        <w:rPr>
          <w:rFonts w:eastAsia="等线" w:ascii="Arial" w:cs="Arial" w:hAnsi="Arial"/>
          <w:b w:val="true"/>
          <w:sz w:val="36"/>
        </w:rPr>
        <w:t>第七章 附则</w:t>
      </w:r>
      <w:bookmarkEnd w:id="2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第一条 制度修订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本制度根据游客中心运营情况、相关法律法规及环保要求，可适时修订，修订后另行公示。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第二条 宣传普及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管理部门需通过游客中心电子屏、宣传栏、广播、宣传手册等多种形式，宣传垃圾分类知识及本制度，引导游客、工作人员、商户主动参与垃圾管理，营造“人人讲卫生、个个守规范”的良好氛围。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第三条 生效日期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本制度自发布之日起生效，由游客中心管理部门负责解释。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[游客中心名称]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[发布日期]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5882150">
    <w:lvl>
      <w:numFmt w:val="bullet"/>
      <w:suff w:val="tab"/>
      <w:lvlText w:val="•"/>
      <w:rPr>
        <w:color w:val="3370ff"/>
      </w:rPr>
    </w:lvl>
  </w:abstractNum>
  <w:abstractNum w:abstractNumId="5882151">
    <w:lvl>
      <w:numFmt w:val="bullet"/>
      <w:suff w:val="tab"/>
      <w:lvlText w:val="•"/>
      <w:rPr>
        <w:color w:val="3370ff"/>
      </w:rPr>
    </w:lvl>
  </w:abstractNum>
  <w:abstractNum w:abstractNumId="5882152">
    <w:lvl>
      <w:numFmt w:val="bullet"/>
      <w:suff w:val="tab"/>
      <w:lvlText w:val="•"/>
      <w:rPr>
        <w:color w:val="3370ff"/>
      </w:rPr>
    </w:lvl>
  </w:abstractNum>
  <w:abstractNum w:abstractNumId="5882153">
    <w:lvl>
      <w:numFmt w:val="bullet"/>
      <w:suff w:val="tab"/>
      <w:lvlText w:val="•"/>
      <w:rPr>
        <w:color w:val="3370ff"/>
      </w:rPr>
    </w:lvl>
  </w:abstractNum>
  <w:abstractNum w:abstractNumId="5882154">
    <w:lvl>
      <w:numFmt w:val="bullet"/>
      <w:suff w:val="tab"/>
      <w:lvlText w:val="•"/>
      <w:rPr>
        <w:color w:val="3370ff"/>
      </w:rPr>
    </w:lvl>
  </w:abstractNum>
  <w:abstractNum w:abstractNumId="5882155">
    <w:lvl>
      <w:numFmt w:val="bullet"/>
      <w:suff w:val="tab"/>
      <w:lvlText w:val="•"/>
      <w:rPr>
        <w:color w:val="3370ff"/>
      </w:rPr>
    </w:lvl>
  </w:abstractNum>
  <w:abstractNum w:abstractNumId="5882156">
    <w:lvl>
      <w:numFmt w:val="bullet"/>
      <w:suff w:val="tab"/>
      <w:lvlText w:val="•"/>
      <w:rPr>
        <w:color w:val="3370ff"/>
      </w:rPr>
    </w:lvl>
  </w:abstractNum>
  <w:abstractNum w:abstractNumId="5882157">
    <w:lvl>
      <w:numFmt w:val="bullet"/>
      <w:suff w:val="tab"/>
      <w:lvlText w:val="•"/>
      <w:rPr>
        <w:color w:val="3370ff"/>
      </w:rPr>
    </w:lvl>
  </w:abstractNum>
  <w:abstractNum w:abstractNumId="5882158">
    <w:lvl>
      <w:numFmt w:val="bullet"/>
      <w:suff w:val="tab"/>
      <w:lvlText w:val="•"/>
      <w:rPr>
        <w:color w:val="3370ff"/>
      </w:rPr>
    </w:lvl>
  </w:abstractNum>
  <w:abstractNum w:abstractNumId="5882159">
    <w:lvl>
      <w:start w:val="1"/>
      <w:numFmt w:val="decimal"/>
      <w:suff w:val="tab"/>
      <w:lvlText w:val="%1."/>
      <w:rPr>
        <w:color w:val="3370ff"/>
      </w:rPr>
    </w:lvl>
  </w:abstractNum>
  <w:abstractNum w:abstractNumId="5882160">
    <w:lvl>
      <w:start w:val="2"/>
      <w:numFmt w:val="decimal"/>
      <w:suff w:val="tab"/>
      <w:lvlText w:val="%1."/>
      <w:rPr>
        <w:color w:val="3370ff"/>
      </w:rPr>
    </w:lvl>
  </w:abstractNum>
  <w:abstractNum w:abstractNumId="5882161">
    <w:lvl>
      <w:start w:val="3"/>
      <w:numFmt w:val="decimal"/>
      <w:suff w:val="tab"/>
      <w:lvlText w:val="%1."/>
      <w:rPr>
        <w:color w:val="3370ff"/>
      </w:rPr>
    </w:lvl>
  </w:abstractNum>
  <w:abstractNum w:abstractNumId="5882162">
    <w:lvl>
      <w:start w:val="4"/>
      <w:numFmt w:val="decimal"/>
      <w:suff w:val="tab"/>
      <w:lvlText w:val="%1."/>
      <w:rPr>
        <w:color w:val="3370ff"/>
      </w:rPr>
    </w:lvl>
  </w:abstractNum>
  <w:abstractNum w:abstractNumId="5882163">
    <w:lvl>
      <w:numFmt w:val="bullet"/>
      <w:suff w:val="tab"/>
      <w:lvlText w:val="•"/>
      <w:rPr>
        <w:color w:val="3370ff"/>
      </w:rPr>
    </w:lvl>
  </w:abstractNum>
  <w:abstractNum w:abstractNumId="5882164">
    <w:lvl>
      <w:numFmt w:val="bullet"/>
      <w:suff w:val="tab"/>
      <w:lvlText w:val="•"/>
      <w:rPr>
        <w:color w:val="3370ff"/>
      </w:rPr>
    </w:lvl>
  </w:abstractNum>
  <w:abstractNum w:abstractNumId="5882165">
    <w:lvl>
      <w:numFmt w:val="bullet"/>
      <w:suff w:val="tab"/>
      <w:lvlText w:val="•"/>
      <w:rPr>
        <w:color w:val="3370ff"/>
      </w:rPr>
    </w:lvl>
  </w:abstractNum>
  <w:abstractNum w:abstractNumId="5882166">
    <w:lvl>
      <w:numFmt w:val="bullet"/>
      <w:suff w:val="tab"/>
      <w:lvlText w:val="•"/>
      <w:rPr>
        <w:color w:val="3370ff"/>
      </w:rPr>
    </w:lvl>
  </w:abstractNum>
  <w:abstractNum w:abstractNumId="5882167">
    <w:lvl>
      <w:numFmt w:val="bullet"/>
      <w:suff w:val="tab"/>
      <w:lvlText w:val="•"/>
      <w:rPr>
        <w:color w:val="3370ff"/>
      </w:rPr>
    </w:lvl>
  </w:abstractNum>
  <w:abstractNum w:abstractNumId="5882168">
    <w:lvl>
      <w:numFmt w:val="bullet"/>
      <w:suff w:val="tab"/>
      <w:lvlText w:val="•"/>
      <w:rPr>
        <w:color w:val="3370ff"/>
      </w:rPr>
    </w:lvl>
  </w:abstractNum>
  <w:abstractNum w:abstractNumId="5882169">
    <w:lvl>
      <w:numFmt w:val="bullet"/>
      <w:suff w:val="tab"/>
      <w:lvlText w:val="•"/>
      <w:rPr>
        <w:color w:val="3370ff"/>
      </w:rPr>
    </w:lvl>
  </w:abstractNum>
  <w:abstractNum w:abstractNumId="5882170">
    <w:lvl>
      <w:numFmt w:val="bullet"/>
      <w:suff w:val="tab"/>
      <w:lvlText w:val="•"/>
      <w:rPr>
        <w:color w:val="3370ff"/>
      </w:rPr>
    </w:lvl>
  </w:abstractNum>
  <w:abstractNum w:abstractNumId="5882171">
    <w:lvl>
      <w:numFmt w:val="bullet"/>
      <w:suff w:val="tab"/>
      <w:lvlText w:val="•"/>
      <w:rPr>
        <w:color w:val="3370ff"/>
      </w:rPr>
    </w:lvl>
  </w:abstractNum>
  <w:abstractNum w:abstractNumId="5882172">
    <w:lvl>
      <w:numFmt w:val="bullet"/>
      <w:suff w:val="tab"/>
      <w:lvlText w:val="•"/>
      <w:rPr>
        <w:color w:val="3370ff"/>
      </w:rPr>
    </w:lvl>
  </w:abstractNum>
  <w:abstractNum w:abstractNumId="5882173">
    <w:lvl>
      <w:numFmt w:val="bullet"/>
      <w:suff w:val="tab"/>
      <w:lvlText w:val="•"/>
      <w:rPr>
        <w:color w:val="3370ff"/>
      </w:rPr>
    </w:lvl>
  </w:abstractNum>
  <w:abstractNum w:abstractNumId="5882174">
    <w:lvl>
      <w:numFmt w:val="bullet"/>
      <w:suff w:val="tab"/>
      <w:lvlText w:val="•"/>
      <w:rPr>
        <w:color w:val="3370ff"/>
      </w:rPr>
    </w:lvl>
  </w:abstractNum>
  <w:abstractNum w:abstractNumId="5882175">
    <w:lvl>
      <w:numFmt w:val="bullet"/>
      <w:suff w:val="tab"/>
      <w:lvlText w:val="•"/>
      <w:rPr>
        <w:color w:val="3370ff"/>
      </w:rPr>
    </w:lvl>
  </w:abstractNum>
  <w:abstractNum w:abstractNumId="5882176">
    <w:lvl>
      <w:numFmt w:val="bullet"/>
      <w:suff w:val="tab"/>
      <w:lvlText w:val="•"/>
      <w:rPr>
        <w:color w:val="3370ff"/>
      </w:rPr>
    </w:lvl>
  </w:abstractNum>
  <w:abstractNum w:abstractNumId="5882177">
    <w:lvl>
      <w:numFmt w:val="bullet"/>
      <w:suff w:val="tab"/>
      <w:lvlText w:val="•"/>
      <w:rPr>
        <w:color w:val="3370ff"/>
      </w:rPr>
    </w:lvl>
  </w:abstractNum>
  <w:abstractNum w:abstractNumId="5882178">
    <w:lvl>
      <w:numFmt w:val="bullet"/>
      <w:suff w:val="tab"/>
      <w:lvlText w:val="•"/>
      <w:rPr>
        <w:color w:val="3370ff"/>
      </w:rPr>
    </w:lvl>
  </w:abstractNum>
  <w:abstractNum w:abstractNumId="5882179">
    <w:lvl>
      <w:numFmt w:val="bullet"/>
      <w:suff w:val="tab"/>
      <w:lvlText w:val="•"/>
      <w:rPr>
        <w:color w:val="3370ff"/>
      </w:rPr>
    </w:lvl>
  </w:abstractNum>
  <w:abstractNum w:abstractNumId="5882180">
    <w:lvl>
      <w:numFmt w:val="bullet"/>
      <w:suff w:val="tab"/>
      <w:lvlText w:val="•"/>
      <w:rPr>
        <w:color w:val="3370ff"/>
      </w:rPr>
    </w:lvl>
  </w:abstractNum>
  <w:abstractNum w:abstractNumId="5882181">
    <w:lvl>
      <w:numFmt w:val="bullet"/>
      <w:suff w:val="tab"/>
      <w:lvlText w:val="•"/>
      <w:rPr>
        <w:color w:val="3370ff"/>
      </w:rPr>
    </w:lvl>
  </w:abstractNum>
  <w:abstractNum w:abstractNumId="5882182">
    <w:lvl>
      <w:numFmt w:val="bullet"/>
      <w:suff w:val="tab"/>
      <w:lvlText w:val="•"/>
      <w:rPr>
        <w:color w:val="3370ff"/>
      </w:rPr>
    </w:lvl>
  </w:abstractNum>
  <w:abstractNum w:abstractNumId="5882183">
    <w:lvl>
      <w:numFmt w:val="bullet"/>
      <w:suff w:val="tab"/>
      <w:lvlText w:val="•"/>
      <w:rPr>
        <w:color w:val="3370ff"/>
      </w:rPr>
    </w:lvl>
  </w:abstractNum>
  <w:num w:numId="1">
    <w:abstractNumId w:val="5882150"/>
  </w:num>
  <w:num w:numId="2">
    <w:abstractNumId w:val="5882151"/>
  </w:num>
  <w:num w:numId="3">
    <w:abstractNumId w:val="5882152"/>
  </w:num>
  <w:num w:numId="4">
    <w:abstractNumId w:val="5882153"/>
  </w:num>
  <w:num w:numId="5">
    <w:abstractNumId w:val="5882154"/>
  </w:num>
  <w:num w:numId="6">
    <w:abstractNumId w:val="5882155"/>
  </w:num>
  <w:num w:numId="7">
    <w:abstractNumId w:val="5882156"/>
  </w:num>
  <w:num w:numId="8">
    <w:abstractNumId w:val="5882157"/>
  </w:num>
  <w:num w:numId="9">
    <w:abstractNumId w:val="5882158"/>
  </w:num>
  <w:num w:numId="10">
    <w:abstractNumId w:val="5882159"/>
  </w:num>
  <w:num w:numId="11">
    <w:abstractNumId w:val="5882160"/>
  </w:num>
  <w:num w:numId="12">
    <w:abstractNumId w:val="5882161"/>
  </w:num>
  <w:num w:numId="13">
    <w:abstractNumId w:val="5882162"/>
  </w:num>
  <w:num w:numId="14">
    <w:abstractNumId w:val="5882163"/>
  </w:num>
  <w:num w:numId="15">
    <w:abstractNumId w:val="5882164"/>
  </w:num>
  <w:num w:numId="16">
    <w:abstractNumId w:val="5882165"/>
  </w:num>
  <w:num w:numId="17">
    <w:abstractNumId w:val="5882166"/>
  </w:num>
  <w:num w:numId="18">
    <w:abstractNumId w:val="5882167"/>
  </w:num>
  <w:num w:numId="19">
    <w:abstractNumId w:val="5882168"/>
  </w:num>
  <w:num w:numId="20">
    <w:abstractNumId w:val="5882169"/>
  </w:num>
  <w:num w:numId="21">
    <w:abstractNumId w:val="5882170"/>
  </w:num>
  <w:num w:numId="22">
    <w:abstractNumId w:val="5882171"/>
  </w:num>
  <w:num w:numId="23">
    <w:abstractNumId w:val="5882172"/>
  </w:num>
  <w:num w:numId="24">
    <w:abstractNumId w:val="5882173"/>
  </w:num>
  <w:num w:numId="25">
    <w:abstractNumId w:val="5882174"/>
  </w:num>
  <w:num w:numId="26">
    <w:abstractNumId w:val="5882175"/>
  </w:num>
  <w:num w:numId="27">
    <w:abstractNumId w:val="5882176"/>
  </w:num>
  <w:num w:numId="28">
    <w:abstractNumId w:val="5882177"/>
  </w:num>
  <w:num w:numId="29">
    <w:abstractNumId w:val="5882178"/>
  </w:num>
  <w:num w:numId="30">
    <w:abstractNumId w:val="5882179"/>
  </w:num>
  <w:num w:numId="31">
    <w:abstractNumId w:val="5882180"/>
  </w:num>
  <w:num w:numId="32">
    <w:abstractNumId w:val="5882181"/>
  </w:num>
  <w:num w:numId="33">
    <w:abstractNumId w:val="5882182"/>
  </w:num>
  <w:num w:numId="34">
    <w:abstractNumId w:val="5882183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2026-03-28T16:35:27Z</dcterms:created>
  <dc:creator>Apache POI</dc:creator>
</cp:coreProperties>
</file>