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松筠·青绿方舟--大学生活动中心绿色建筑的生态对话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项目名称：松筠·青绿方舟--大学生活动中心绿色建筑的生态对话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围护结构提高21%或负荷降低16%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全寿命期单位建筑面积碳排放强为1065kgCO2/（m2·a）减碳率50%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