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2384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102063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B41F96D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4F8ADD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422338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B0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CEC42E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本次改造工程中，建筑内部非结构件、各类设备及附属设施的连接施工，严格遵循结构安全、稳固可靠、便于运维的原则实施。各类隔墙、吊顶、饰面等非结构件，与主体结构、承重构件采用合规连接件固定，杜绝擅自破坏承重结构、随意开孔凿槽的情况，保证连接牢固、受力合理，兼顾拆装与改造便利性。</w:t>
            </w:r>
          </w:p>
          <w:p w14:paraId="3686FB5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val="en-US" w:eastAsia="zh-CN"/>
              </w:rPr>
              <w:t>机电设备、给排水管线、电气设施、暖通配件等附属设施，与建筑主体、墙体、楼板的连接点位提前规划、精准预埋，规范布设固定支架、基座与连接件，做好防水、减震、降噪处理。所有连接构造均满足设备安装、调试、检修及更换的操作要求，贴合校园建筑长效使用、安全运维的标准，避免后期加装改造损伤主体结构，保障建筑整体使用安全与稳定性。</w:t>
            </w:r>
            <w:bookmarkStart w:id="0" w:name="_GoBack"/>
            <w:bookmarkEnd w:id="0"/>
          </w:p>
        </w:tc>
      </w:tr>
    </w:tbl>
    <w:p w14:paraId="49CD884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7A1A5E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B80AA7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74D75AF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0558A1A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354BA75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3694CB11">
      <w:pPr>
        <w:rPr>
          <w:rFonts w:ascii="Times New Roman" w:hAnsi="Times New Roman" w:eastAsia="宋体" w:cs="Times New Roman"/>
          <w:szCs w:val="21"/>
        </w:rPr>
      </w:pPr>
    </w:p>
    <w:p w14:paraId="7616B5C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32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E6D2EE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5C489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6D31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9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WPS_1602390626</cp:lastModifiedBy>
  <dcterms:modified xsi:type="dcterms:W3CDTF">2026-03-27T04:58:52Z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A4ECB492B5DF42FDB5921EEB0CC53A9F_13</vt:lpwstr>
  </property>
</Properties>
</file>